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E0" w:rsidRPr="006230A9" w:rsidRDefault="00E74837">
      <w:pPr>
        <w:spacing w:after="256" w:line="240" w:lineRule="auto"/>
        <w:ind w:left="0" w:firstLine="0"/>
        <w:jc w:val="center"/>
        <w:rPr>
          <w:color w:val="auto"/>
          <w:lang w:val="sq-AL"/>
        </w:rPr>
      </w:pPr>
      <w:r w:rsidRPr="006230A9">
        <w:rPr>
          <w:rFonts w:ascii="Calibri" w:eastAsia="Calibri" w:hAnsi="Calibri" w:cs="Calibri"/>
          <w:noProof/>
          <w:color w:val="auto"/>
        </w:rPr>
        <w:drawing>
          <wp:inline distT="0" distB="0" distL="0" distR="0" wp14:anchorId="7DBF51FA" wp14:editId="2FB8DF61">
            <wp:extent cx="812800" cy="793750"/>
            <wp:effectExtent l="0" t="0" r="0" b="0"/>
            <wp:docPr id="6590" name="Picture 6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" name="Picture 65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0A9">
        <w:rPr>
          <w:b/>
          <w:color w:val="auto"/>
          <w:lang w:val="sq-AL"/>
        </w:rPr>
        <w:t xml:space="preserve"> </w:t>
      </w:r>
    </w:p>
    <w:p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Republika e Kosovës </w:t>
      </w:r>
    </w:p>
    <w:p w:rsidR="001927E0" w:rsidRPr="006230A9" w:rsidRDefault="00E74837" w:rsidP="00B56F64">
      <w:pPr>
        <w:pStyle w:val="Heading1"/>
        <w:spacing w:after="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>Republika Kosova-</w:t>
      </w:r>
      <w:proofErr w:type="spellStart"/>
      <w:r w:rsidRPr="006230A9">
        <w:rPr>
          <w:color w:val="auto"/>
          <w:sz w:val="20"/>
          <w:szCs w:val="20"/>
          <w:lang w:val="sq-AL"/>
        </w:rPr>
        <w:t>Republic</w:t>
      </w:r>
      <w:proofErr w:type="spellEnd"/>
      <w:r w:rsidRPr="006230A9">
        <w:rPr>
          <w:color w:val="auto"/>
          <w:sz w:val="20"/>
          <w:szCs w:val="20"/>
          <w:lang w:val="sq-AL"/>
        </w:rPr>
        <w:t xml:space="preserve"> </w:t>
      </w:r>
      <w:proofErr w:type="spellStart"/>
      <w:r w:rsidRPr="006230A9">
        <w:rPr>
          <w:color w:val="auto"/>
          <w:sz w:val="20"/>
          <w:szCs w:val="20"/>
          <w:lang w:val="sq-AL"/>
        </w:rPr>
        <w:t>of</w:t>
      </w:r>
      <w:proofErr w:type="spellEnd"/>
      <w:r w:rsidRPr="006230A9">
        <w:rPr>
          <w:color w:val="auto"/>
          <w:sz w:val="20"/>
          <w:szCs w:val="20"/>
          <w:lang w:val="sq-AL"/>
        </w:rPr>
        <w:t xml:space="preserve"> Kosovo </w:t>
      </w:r>
    </w:p>
    <w:p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>Qeveria-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Vlada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>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Government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</w:p>
    <w:p w:rsidR="001927E0" w:rsidRPr="006230A9" w:rsidRDefault="00E74837" w:rsidP="00B56F64">
      <w:pPr>
        <w:spacing w:after="0" w:line="337" w:lineRule="auto"/>
        <w:ind w:left="10" w:right="-15"/>
        <w:jc w:val="center"/>
        <w:rPr>
          <w:color w:val="auto"/>
          <w:sz w:val="20"/>
          <w:szCs w:val="20"/>
          <w:lang w:val="sq-AL"/>
        </w:rPr>
      </w:pPr>
      <w:r w:rsidRPr="006230A9">
        <w:rPr>
          <w:b/>
          <w:i/>
          <w:color w:val="auto"/>
          <w:sz w:val="20"/>
          <w:szCs w:val="20"/>
          <w:lang w:val="sq-AL"/>
        </w:rPr>
        <w:t>Zyra e Kryeministrit-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Ured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Premijera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-Office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of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the Prime </w:t>
      </w:r>
      <w:proofErr w:type="spellStart"/>
      <w:r w:rsidRPr="006230A9">
        <w:rPr>
          <w:b/>
          <w:i/>
          <w:color w:val="auto"/>
          <w:sz w:val="20"/>
          <w:szCs w:val="20"/>
          <w:lang w:val="sq-AL"/>
        </w:rPr>
        <w:t>Minister</w:t>
      </w:r>
      <w:proofErr w:type="spellEnd"/>
      <w:r w:rsidRPr="006230A9">
        <w:rPr>
          <w:b/>
          <w:i/>
          <w:color w:val="auto"/>
          <w:sz w:val="20"/>
          <w:szCs w:val="20"/>
          <w:lang w:val="sq-AL"/>
        </w:rPr>
        <w:t xml:space="preserve"> </w:t>
      </w:r>
    </w:p>
    <w:p w:rsidR="001927E0" w:rsidRPr="006230A9" w:rsidRDefault="00E74837" w:rsidP="00B56F64">
      <w:pPr>
        <w:pStyle w:val="Heading1"/>
        <w:spacing w:after="0"/>
        <w:ind w:right="190"/>
        <w:rPr>
          <w:color w:val="auto"/>
          <w:sz w:val="20"/>
          <w:szCs w:val="20"/>
          <w:lang w:val="sq-AL"/>
        </w:rPr>
      </w:pPr>
      <w:r w:rsidRPr="006230A9">
        <w:rPr>
          <w:color w:val="auto"/>
          <w:sz w:val="20"/>
          <w:szCs w:val="20"/>
          <w:lang w:val="sq-AL"/>
        </w:rPr>
        <w:t xml:space="preserve">AGJENCIA  PËR BARAZI GJINORE / AGENCIJA ZA RAVNOPRAVNOST POLOVA/ AGENCY OF GENDER EQUALITY </w:t>
      </w:r>
    </w:p>
    <w:p w:rsidR="00AD32C8" w:rsidRPr="006230A9" w:rsidRDefault="00AD32C8" w:rsidP="00AD32C8">
      <w:pPr>
        <w:rPr>
          <w:color w:val="auto"/>
          <w:lang w:val="sq-AL"/>
        </w:rPr>
      </w:pPr>
    </w:p>
    <w:p w:rsidR="00BF49B0" w:rsidRPr="006230A9" w:rsidRDefault="00BF49B0" w:rsidP="00AD32C8">
      <w:pPr>
        <w:rPr>
          <w:color w:val="auto"/>
          <w:lang w:val="sq-AL"/>
        </w:rPr>
      </w:pPr>
    </w:p>
    <w:p w:rsidR="00AD32C8" w:rsidRPr="006230A9" w:rsidRDefault="00AD32C8" w:rsidP="00BF49B0">
      <w:pPr>
        <w:spacing w:after="350" w:line="246" w:lineRule="auto"/>
        <w:rPr>
          <w:b/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FTESA PËR SUBVENCIONIM PËR ORGANIZATAT JO QEVERITARE  2026 </w:t>
      </w:r>
    </w:p>
    <w:p w:rsidR="001A6A1C" w:rsidRPr="006230A9" w:rsidRDefault="001A6A1C" w:rsidP="00AD32C8">
      <w:pPr>
        <w:spacing w:after="338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për Barazi Gjinore (ABGJ) shpall thirrje publike për ofrimin e mbështetjes financiare publike për financimin e projekteve të organizatave jo qeveritare (OJQ), që kontribuojnë në ngritjen e vetëdijes dhe ndërgjegjësimit te </w:t>
      </w:r>
      <w:proofErr w:type="spellStart"/>
      <w:r w:rsidRPr="006230A9">
        <w:rPr>
          <w:color w:val="auto"/>
          <w:lang w:val="sq-AL"/>
        </w:rPr>
        <w:t>te</w:t>
      </w:r>
      <w:proofErr w:type="spellEnd"/>
      <w:r w:rsidRPr="006230A9">
        <w:rPr>
          <w:color w:val="auto"/>
          <w:lang w:val="sq-AL"/>
        </w:rPr>
        <w:t xml:space="preserve"> </w:t>
      </w:r>
      <w:r w:rsidR="00925175" w:rsidRPr="006230A9">
        <w:rPr>
          <w:color w:val="auto"/>
          <w:lang w:val="sq-AL"/>
        </w:rPr>
        <w:t>rinjve</w:t>
      </w:r>
      <w:r w:rsidRPr="006230A9">
        <w:rPr>
          <w:color w:val="auto"/>
          <w:lang w:val="sq-AL"/>
        </w:rPr>
        <w:t xml:space="preserve"> dhe te rejave </w:t>
      </w:r>
      <w:r w:rsidR="006A1678" w:rsidRPr="006230A9">
        <w:rPr>
          <w:color w:val="auto"/>
          <w:lang w:val="sq-AL"/>
        </w:rPr>
        <w:t>për</w:t>
      </w:r>
      <w:r w:rsidR="00925175" w:rsidRPr="006230A9">
        <w:rPr>
          <w:color w:val="auto"/>
          <w:lang w:val="sq-AL"/>
        </w:rPr>
        <w:t xml:space="preserve"> dhunën </w:t>
      </w:r>
      <w:proofErr w:type="spellStart"/>
      <w:r w:rsidR="00925175" w:rsidRPr="006230A9">
        <w:rPr>
          <w:color w:val="auto"/>
          <w:lang w:val="sq-AL"/>
        </w:rPr>
        <w:t>online</w:t>
      </w:r>
      <w:proofErr w:type="spellEnd"/>
      <w:r w:rsidR="00925175" w:rsidRPr="006230A9">
        <w:rPr>
          <w:color w:val="auto"/>
          <w:lang w:val="sq-AL"/>
        </w:rPr>
        <w:t xml:space="preserve">, </w:t>
      </w:r>
      <w:proofErr w:type="spellStart"/>
      <w:r w:rsidR="00925175" w:rsidRPr="006230A9">
        <w:rPr>
          <w:rStyle w:val="Strong"/>
          <w:color w:val="auto"/>
          <w:lang w:val="sq-AL"/>
        </w:rPr>
        <w:t>bullizimin</w:t>
      </w:r>
      <w:proofErr w:type="spellEnd"/>
      <w:r w:rsidR="00925175" w:rsidRPr="006230A9">
        <w:rPr>
          <w:rStyle w:val="Strong"/>
          <w:color w:val="auto"/>
          <w:lang w:val="sq-AL"/>
        </w:rPr>
        <w:t>, ngacmimin seksual</w:t>
      </w:r>
      <w:r w:rsidR="00925175" w:rsidRPr="006230A9">
        <w:rPr>
          <w:color w:val="auto"/>
          <w:lang w:val="sq-AL"/>
        </w:rPr>
        <w:t xml:space="preserve"> </w:t>
      </w:r>
      <w:r w:rsidR="00A15354" w:rsidRPr="006230A9">
        <w:rPr>
          <w:color w:val="auto"/>
          <w:lang w:val="sq-AL"/>
        </w:rPr>
        <w:t xml:space="preserve">dhe </w:t>
      </w:r>
      <w:r w:rsidR="00925175" w:rsidRPr="006230A9">
        <w:rPr>
          <w:rStyle w:val="Strong"/>
          <w:color w:val="auto"/>
          <w:lang w:val="sq-AL"/>
        </w:rPr>
        <w:t>format e tjera të dhunës</w:t>
      </w:r>
      <w:r w:rsidRPr="006230A9">
        <w:rPr>
          <w:color w:val="auto"/>
          <w:lang w:val="sq-AL"/>
        </w:rPr>
        <w:t xml:space="preserve"> në </w:t>
      </w:r>
      <w:r w:rsidR="00FD3A8E">
        <w:rPr>
          <w:color w:val="auto"/>
          <w:lang w:val="sq-AL"/>
        </w:rPr>
        <w:t xml:space="preserve">zbatim të Ligjit për Barazi Gjinore nr. 05/L-020 dhe </w:t>
      </w:r>
      <w:r w:rsidRPr="006230A9">
        <w:rPr>
          <w:color w:val="auto"/>
          <w:lang w:val="sq-AL"/>
        </w:rPr>
        <w:t>zbatimin e prioriteteve të parapara në Objektivat Strategjike të Strategjisë Kombëtare për Mbrojtjen nga dhuna 2022–2026 dhe planit të tij të veprimit, respektivisht Objektiven I: Parandalimi dhe identifikimi i dhunës nëpërmjet edukimit dhe vetëdijesimit.</w:t>
      </w:r>
    </w:p>
    <w:p w:rsidR="00AD32C8" w:rsidRPr="006230A9" w:rsidRDefault="00AD32C8" w:rsidP="00AD32C8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>Qëllimi</w:t>
      </w:r>
      <w:r w:rsidRPr="006230A9">
        <w:rPr>
          <w:color w:val="auto"/>
          <w:lang w:val="sq-AL"/>
        </w:rPr>
        <w:t xml:space="preserve"> </w:t>
      </w:r>
    </w:p>
    <w:p w:rsidR="00AD32C8" w:rsidRPr="006230A9" w:rsidRDefault="00AD32C8" w:rsidP="00EF5FEE">
      <w:p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për Barazi Gjinore përmes kësaj thirrjeje në zbatim </w:t>
      </w:r>
      <w:r w:rsidR="00FD3A8E">
        <w:rPr>
          <w:color w:val="auto"/>
          <w:lang w:val="sq-AL"/>
        </w:rPr>
        <w:t xml:space="preserve">Ligjit për Barazi Gjinore nr. 05/L-020 dhe në zbatim </w:t>
      </w:r>
      <w:r w:rsidRPr="006230A9">
        <w:rPr>
          <w:color w:val="auto"/>
          <w:lang w:val="sq-AL"/>
        </w:rPr>
        <w:t xml:space="preserve">të drejtpërdrejtë të Strategjisë Kombëtare për mbrojtjen nga dhuna në familje dhe dhuna ndaj grave 2022-2026  dhe planit të tij të veprimit, respektivisht,  Objektiven I: Parandalimi dhe identifikimi i dhunës nëpërmjet edukimit dhe </w:t>
      </w:r>
      <w:proofErr w:type="spellStart"/>
      <w:r w:rsidRPr="006230A9">
        <w:rPr>
          <w:color w:val="auto"/>
          <w:lang w:val="sq-AL"/>
        </w:rPr>
        <w:t>vetëdijësimit</w:t>
      </w:r>
      <w:proofErr w:type="spellEnd"/>
      <w:r w:rsidRPr="006230A9">
        <w:rPr>
          <w:color w:val="auto"/>
          <w:lang w:val="sq-AL"/>
        </w:rPr>
        <w:t xml:space="preserve"> dhe Ligjit për Barazi Gjinore neni 7 pika 1.7.  </w:t>
      </w:r>
    </w:p>
    <w:p w:rsidR="00571AEF" w:rsidRPr="006230A9" w:rsidRDefault="00571AEF" w:rsidP="00571AEF">
      <w:pPr>
        <w:ind w:left="0" w:firstLine="0"/>
        <w:rPr>
          <w:color w:val="auto"/>
          <w:lang w:val="sq-AL"/>
        </w:rPr>
      </w:pPr>
    </w:p>
    <w:p w:rsidR="00BF49B0" w:rsidRPr="006230A9" w:rsidRDefault="00E74837" w:rsidP="00EF5FEE">
      <w:pPr>
        <w:spacing w:after="340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Objektivi specifik </w:t>
      </w:r>
      <w:r w:rsidR="007A703A" w:rsidRPr="006230A9">
        <w:rPr>
          <w:b/>
          <w:color w:val="auto"/>
          <w:lang w:val="sq-AL"/>
        </w:rPr>
        <w:t>1.1:</w:t>
      </w:r>
      <w:r w:rsidRPr="006230A9">
        <w:rPr>
          <w:color w:val="auto"/>
          <w:lang w:val="sq-AL"/>
        </w:rPr>
        <w:t xml:space="preserve">  Ndryshimi i sjelljeve qëndrimeve, roleve dhe </w:t>
      </w:r>
      <w:proofErr w:type="spellStart"/>
      <w:r w:rsidRPr="006230A9">
        <w:rPr>
          <w:color w:val="auto"/>
          <w:lang w:val="sq-AL"/>
        </w:rPr>
        <w:t>steriotipeve</w:t>
      </w:r>
      <w:proofErr w:type="spellEnd"/>
      <w:r w:rsidRPr="006230A9">
        <w:rPr>
          <w:color w:val="auto"/>
          <w:lang w:val="sq-AL"/>
        </w:rPr>
        <w:t xml:space="preserve"> gjinore që justifikojnë </w:t>
      </w:r>
      <w:r w:rsidR="00EF5FEE" w:rsidRPr="006230A9">
        <w:rPr>
          <w:color w:val="auto"/>
          <w:lang w:val="sq-AL"/>
        </w:rPr>
        <w:t>dhunën.</w:t>
      </w:r>
    </w:p>
    <w:p w:rsidR="001927E0" w:rsidRPr="006230A9" w:rsidRDefault="00E74837">
      <w:pPr>
        <w:spacing w:after="0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  <w:r w:rsidRPr="006230A9">
        <w:rPr>
          <w:b/>
          <w:color w:val="auto"/>
          <w:u w:val="single" w:color="000000"/>
          <w:lang w:val="sq-AL"/>
        </w:rPr>
        <w:t xml:space="preserve">Fushata </w:t>
      </w:r>
      <w:proofErr w:type="spellStart"/>
      <w:r w:rsidRPr="006230A9">
        <w:rPr>
          <w:b/>
          <w:color w:val="auto"/>
          <w:u w:val="single" w:color="000000"/>
          <w:lang w:val="sq-AL"/>
        </w:rPr>
        <w:t>vetëdijesuese</w:t>
      </w:r>
      <w:proofErr w:type="spellEnd"/>
      <w:r w:rsidR="009A6ECB" w:rsidRPr="006230A9">
        <w:rPr>
          <w:b/>
          <w:color w:val="auto"/>
          <w:u w:val="single" w:color="000000"/>
          <w:lang w:val="sq-AL"/>
        </w:rPr>
        <w:t xml:space="preserve">  duhet të arrijnë qëllimin në </w:t>
      </w:r>
      <w:r w:rsidR="006230A9" w:rsidRPr="006230A9">
        <w:rPr>
          <w:b/>
          <w:color w:val="auto"/>
          <w:u w:val="single" w:color="000000"/>
          <w:lang w:val="sq-AL"/>
        </w:rPr>
        <w:t xml:space="preserve">4 </w:t>
      </w:r>
      <w:r w:rsidRPr="006230A9">
        <w:rPr>
          <w:b/>
          <w:color w:val="auto"/>
          <w:u w:val="single" w:color="000000"/>
          <w:lang w:val="sq-AL"/>
        </w:rPr>
        <w:t>fusha:</w:t>
      </w:r>
      <w:r w:rsidRPr="006230A9">
        <w:rPr>
          <w:b/>
          <w:color w:val="auto"/>
          <w:lang w:val="sq-AL"/>
        </w:rPr>
        <w:t xml:space="preserve">  </w:t>
      </w:r>
    </w:p>
    <w:p w:rsidR="006230A9" w:rsidRPr="006230A9" w:rsidRDefault="006230A9" w:rsidP="006230A9">
      <w:pPr>
        <w:pStyle w:val="ListParagraph"/>
        <w:spacing w:after="448" w:line="240" w:lineRule="auto"/>
        <w:ind w:firstLine="0"/>
        <w:jc w:val="left"/>
        <w:rPr>
          <w:b/>
          <w:color w:val="auto"/>
          <w:lang w:val="sq-AL"/>
        </w:rPr>
      </w:pPr>
    </w:p>
    <w:p w:rsidR="006230A9" w:rsidRPr="006230A9" w:rsidRDefault="006230A9" w:rsidP="006230A9">
      <w:pPr>
        <w:pStyle w:val="ListParagraph"/>
        <w:numPr>
          <w:ilvl w:val="0"/>
          <w:numId w:val="14"/>
        </w:numPr>
        <w:spacing w:before="240" w:after="448" w:line="240" w:lineRule="auto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Rritja e vetëdijes dhe ndërgjegjësimit te të rinjtë për të gjitha format e dhunës, përfshirë </w:t>
      </w:r>
      <w:proofErr w:type="spellStart"/>
      <w:r w:rsidRPr="006230A9">
        <w:rPr>
          <w:color w:val="auto"/>
          <w:lang w:val="sq-AL"/>
        </w:rPr>
        <w:t>bullizimin</w:t>
      </w:r>
      <w:proofErr w:type="spellEnd"/>
      <w:r w:rsidRPr="006230A9">
        <w:rPr>
          <w:color w:val="auto"/>
          <w:lang w:val="sq-AL"/>
        </w:rPr>
        <w:t xml:space="preserve">, dhunën </w:t>
      </w:r>
      <w:proofErr w:type="spellStart"/>
      <w:r w:rsidRPr="006230A9">
        <w:rPr>
          <w:color w:val="auto"/>
          <w:lang w:val="sq-AL"/>
        </w:rPr>
        <w:t>online</w:t>
      </w:r>
      <w:proofErr w:type="spellEnd"/>
      <w:r w:rsidRPr="006230A9">
        <w:rPr>
          <w:color w:val="auto"/>
          <w:lang w:val="sq-AL"/>
        </w:rPr>
        <w:t>, gjuhën e urrejtjes dhe ngacmimin seksual</w:t>
      </w:r>
    </w:p>
    <w:p w:rsidR="006230A9" w:rsidRPr="00FD3A8E" w:rsidRDefault="006230A9" w:rsidP="006230A9">
      <w:pPr>
        <w:pStyle w:val="ListParagraph"/>
        <w:numPr>
          <w:ilvl w:val="0"/>
          <w:numId w:val="14"/>
        </w:numPr>
        <w:spacing w:before="240" w:after="448" w:line="240" w:lineRule="auto"/>
        <w:jc w:val="left"/>
        <w:rPr>
          <w:color w:val="auto"/>
          <w:lang w:val="sq-AL"/>
        </w:rPr>
      </w:pPr>
      <w:r w:rsidRPr="006230A9">
        <w:rPr>
          <w:rFonts w:eastAsia="Times New Roman" w:cs="Times New Roman"/>
          <w:bCs/>
          <w:color w:val="auto"/>
          <w:lang w:val="sq-AL"/>
        </w:rPr>
        <w:t>Fuqizim i të rinjve</w:t>
      </w:r>
      <w:r w:rsidRPr="006230A9">
        <w:rPr>
          <w:rFonts w:eastAsia="Times New Roman" w:cs="Times New Roman"/>
          <w:color w:val="auto"/>
          <w:lang w:val="sq-AL"/>
        </w:rPr>
        <w:t xml:space="preserve"> për të reaguar, mbështetur viktimat dhe promovuar </w:t>
      </w:r>
      <w:r w:rsidR="00FD3A8E">
        <w:rPr>
          <w:rFonts w:eastAsia="Times New Roman" w:cs="Times New Roman"/>
          <w:color w:val="auto"/>
          <w:lang w:val="sq-AL"/>
        </w:rPr>
        <w:t xml:space="preserve">vlerat e barazisë gjinore </w:t>
      </w:r>
    </w:p>
    <w:p w:rsidR="00FD3A8E" w:rsidRPr="006230A9" w:rsidRDefault="00FD3A8E" w:rsidP="00FD3A8E">
      <w:pPr>
        <w:pStyle w:val="ListParagraph"/>
        <w:spacing w:before="240" w:after="448" w:line="240" w:lineRule="auto"/>
        <w:ind w:firstLine="0"/>
        <w:jc w:val="left"/>
        <w:rPr>
          <w:color w:val="auto"/>
          <w:lang w:val="sq-AL"/>
        </w:rPr>
      </w:pPr>
    </w:p>
    <w:p w:rsidR="00991596" w:rsidRPr="006230A9" w:rsidRDefault="00991596" w:rsidP="006230A9">
      <w:pPr>
        <w:pStyle w:val="ListParagraph"/>
        <w:numPr>
          <w:ilvl w:val="0"/>
          <w:numId w:val="14"/>
        </w:numPr>
        <w:rPr>
          <w:color w:val="auto"/>
          <w:lang w:val="sq-AL"/>
        </w:rPr>
      </w:pPr>
      <w:proofErr w:type="spellStart"/>
      <w:r w:rsidRPr="006230A9">
        <w:rPr>
          <w:color w:val="auto"/>
          <w:lang w:val="sq-AL"/>
        </w:rPr>
        <w:t>Vetëdijësimi</w:t>
      </w:r>
      <w:proofErr w:type="spellEnd"/>
      <w:r w:rsidRPr="006230A9">
        <w:rPr>
          <w:color w:val="auto"/>
          <w:lang w:val="sq-AL"/>
        </w:rPr>
        <w:t xml:space="preserve"> i </w:t>
      </w:r>
      <w:r w:rsidR="006230A9" w:rsidRPr="006230A9">
        <w:rPr>
          <w:color w:val="auto"/>
          <w:lang w:val="sq-AL"/>
        </w:rPr>
        <w:t>rinisë</w:t>
      </w:r>
      <w:r w:rsidRPr="006230A9">
        <w:rPr>
          <w:color w:val="auto"/>
          <w:lang w:val="sq-AL"/>
        </w:rPr>
        <w:t xml:space="preserve"> mbi </w:t>
      </w:r>
      <w:proofErr w:type="spellStart"/>
      <w:r w:rsidRPr="006230A9">
        <w:rPr>
          <w:color w:val="auto"/>
          <w:lang w:val="sq-AL"/>
        </w:rPr>
        <w:t>zingjirin</w:t>
      </w:r>
      <w:proofErr w:type="spellEnd"/>
      <w:r w:rsidRPr="006230A9">
        <w:rPr>
          <w:color w:val="auto"/>
          <w:lang w:val="sq-AL"/>
        </w:rPr>
        <w:t xml:space="preserve"> institucional të përkrahjes së rasteve të dhunës, si dhe shenjat identifikuese, parandalimin dhe referimin e rasteve të dhunës </w:t>
      </w:r>
      <w:proofErr w:type="spellStart"/>
      <w:r w:rsidR="006230A9" w:rsidRPr="006230A9">
        <w:rPr>
          <w:color w:val="auto"/>
          <w:lang w:val="sq-AL"/>
        </w:rPr>
        <w:t>online</w:t>
      </w:r>
      <w:proofErr w:type="spellEnd"/>
      <w:r w:rsidR="006230A9" w:rsidRPr="006230A9">
        <w:rPr>
          <w:color w:val="auto"/>
          <w:lang w:val="sq-AL"/>
        </w:rPr>
        <w:t xml:space="preserve">, </w:t>
      </w:r>
      <w:proofErr w:type="spellStart"/>
      <w:r w:rsidR="006230A9" w:rsidRPr="006230A9">
        <w:rPr>
          <w:color w:val="auto"/>
          <w:lang w:val="sq-AL"/>
        </w:rPr>
        <w:t>bullizimit</w:t>
      </w:r>
      <w:proofErr w:type="spellEnd"/>
      <w:r w:rsidR="006230A9" w:rsidRPr="006230A9">
        <w:rPr>
          <w:color w:val="auto"/>
          <w:lang w:val="sq-AL"/>
        </w:rPr>
        <w:t>, ngacmimit seksual dhe formave tjera te dhunës</w:t>
      </w:r>
    </w:p>
    <w:p w:rsidR="009A6ECB" w:rsidRPr="0011705C" w:rsidRDefault="00991596" w:rsidP="0011705C">
      <w:pPr>
        <w:pStyle w:val="ListParagraph"/>
        <w:numPr>
          <w:ilvl w:val="0"/>
          <w:numId w:val="14"/>
        </w:numPr>
        <w:spacing w:after="356"/>
        <w:rPr>
          <w:color w:val="auto"/>
          <w:lang w:val="sq-AL"/>
        </w:rPr>
      </w:pPr>
      <w:r w:rsidRPr="006230A9">
        <w:rPr>
          <w:color w:val="auto"/>
          <w:lang w:val="sq-AL"/>
        </w:rPr>
        <w:lastRenderedPageBreak/>
        <w:t xml:space="preserve">Luftimi i </w:t>
      </w:r>
      <w:proofErr w:type="spellStart"/>
      <w:r w:rsidRPr="006230A9">
        <w:rPr>
          <w:color w:val="auto"/>
          <w:lang w:val="sq-AL"/>
        </w:rPr>
        <w:t>stereotipeve</w:t>
      </w:r>
      <w:proofErr w:type="spellEnd"/>
      <w:r w:rsidRPr="006230A9">
        <w:rPr>
          <w:color w:val="auto"/>
          <w:lang w:val="sq-AL"/>
        </w:rPr>
        <w:t xml:space="preserve"> </w:t>
      </w:r>
      <w:r w:rsidR="00FD3A8E">
        <w:rPr>
          <w:color w:val="auto"/>
          <w:lang w:val="sq-AL"/>
        </w:rPr>
        <w:t xml:space="preserve">gjinore </w:t>
      </w:r>
      <w:r w:rsidR="006230A9" w:rsidRPr="006230A9">
        <w:rPr>
          <w:color w:val="auto"/>
          <w:lang w:val="sq-AL"/>
        </w:rPr>
        <w:t xml:space="preserve">të </w:t>
      </w:r>
      <w:proofErr w:type="spellStart"/>
      <w:r w:rsidR="006230A9" w:rsidRPr="006230A9">
        <w:rPr>
          <w:color w:val="auto"/>
          <w:lang w:val="sq-AL"/>
        </w:rPr>
        <w:t>të</w:t>
      </w:r>
      <w:proofErr w:type="spellEnd"/>
      <w:r w:rsidR="006230A9" w:rsidRPr="006230A9">
        <w:rPr>
          <w:color w:val="auto"/>
          <w:lang w:val="sq-AL"/>
        </w:rPr>
        <w:t xml:space="preserve"> rinjtë dhe te rejat </w:t>
      </w:r>
    </w:p>
    <w:p w:rsidR="001927E0" w:rsidRPr="006230A9" w:rsidRDefault="00E74837" w:rsidP="009A6ECB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Agjencia për Barazi Gjinore u bënë thirrje për aplikim të gjitha organizatave jo qeveritare, të regjistruara në Republikën e Kosovës mandati i të cilave është i fokusuar dhe profilizuar në fushën e </w:t>
      </w:r>
      <w:proofErr w:type="spellStart"/>
      <w:r w:rsidRPr="006230A9">
        <w:rPr>
          <w:b/>
          <w:color w:val="auto"/>
          <w:lang w:val="sq-AL"/>
        </w:rPr>
        <w:t>avokimit</w:t>
      </w:r>
      <w:proofErr w:type="spellEnd"/>
      <w:r w:rsidRPr="006230A9">
        <w:rPr>
          <w:b/>
          <w:color w:val="auto"/>
          <w:lang w:val="sq-AL"/>
        </w:rPr>
        <w:t xml:space="preserve">, ndërgjegjësimit, </w:t>
      </w:r>
      <w:r w:rsidR="0036423B" w:rsidRPr="006230A9">
        <w:rPr>
          <w:b/>
          <w:color w:val="auto"/>
          <w:lang w:val="sq-AL"/>
        </w:rPr>
        <w:t>promovimit dhe</w:t>
      </w:r>
      <w:r w:rsidRPr="006230A9">
        <w:rPr>
          <w:b/>
          <w:color w:val="auto"/>
          <w:lang w:val="sq-AL"/>
        </w:rPr>
        <w:t xml:space="preserve"> barazisë gjinore</w:t>
      </w:r>
      <w:r w:rsidR="0036423B" w:rsidRPr="006230A9">
        <w:rPr>
          <w:b/>
          <w:color w:val="auto"/>
          <w:lang w:val="sq-AL"/>
        </w:rPr>
        <w:t>, te</w:t>
      </w:r>
      <w:r w:rsidRPr="006230A9">
        <w:rPr>
          <w:b/>
          <w:color w:val="auto"/>
          <w:lang w:val="sq-AL"/>
        </w:rPr>
        <w:t xml:space="preserve"> drejtave </w:t>
      </w:r>
      <w:r w:rsidR="0036423B" w:rsidRPr="006230A9">
        <w:rPr>
          <w:b/>
          <w:color w:val="auto"/>
          <w:lang w:val="sq-AL"/>
        </w:rPr>
        <w:t>të njeriut</w:t>
      </w:r>
      <w:r w:rsidR="008E6FF9" w:rsidRPr="006230A9">
        <w:rPr>
          <w:b/>
          <w:color w:val="auto"/>
          <w:lang w:val="sq-AL"/>
        </w:rPr>
        <w:t xml:space="preserve"> dhe mbrojtje nga diskriminimi</w:t>
      </w:r>
      <w:r w:rsidRPr="006230A9">
        <w:rPr>
          <w:b/>
          <w:color w:val="auto"/>
          <w:lang w:val="sq-AL"/>
        </w:rPr>
        <w:t xml:space="preserve">. </w:t>
      </w:r>
      <w:proofErr w:type="spellStart"/>
      <w:r w:rsidR="00730838">
        <w:rPr>
          <w:b/>
          <w:color w:val="auto"/>
          <w:lang w:val="sq-AL"/>
        </w:rPr>
        <w:t>Specifikisht</w:t>
      </w:r>
      <w:proofErr w:type="spellEnd"/>
      <w:r w:rsidR="00730838">
        <w:rPr>
          <w:b/>
          <w:color w:val="auto"/>
          <w:lang w:val="sq-AL"/>
        </w:rPr>
        <w:t xml:space="preserve">, ftojmë OJQ-të që punojnë drejtpërdrejtë me këto grupe </w:t>
      </w:r>
      <w:r w:rsidR="003E3C10">
        <w:rPr>
          <w:b/>
          <w:color w:val="auto"/>
          <w:lang w:val="sq-AL"/>
        </w:rPr>
        <w:t>dhe kanë projekte konkrete që i përgjigjen qëllimit të thirrjes, të aplikojnë për këto subvencione.</w:t>
      </w:r>
      <w:r w:rsidR="00730838">
        <w:rPr>
          <w:b/>
          <w:color w:val="auto"/>
          <w:lang w:val="sq-AL"/>
        </w:rPr>
        <w:t xml:space="preserve"> </w:t>
      </w:r>
    </w:p>
    <w:p w:rsidR="00CD3B16" w:rsidRPr="006230A9" w:rsidRDefault="00E74837" w:rsidP="001D26C1">
      <w:pPr>
        <w:spacing w:after="354"/>
        <w:rPr>
          <w:color w:val="auto"/>
          <w:lang w:val="sq-AL"/>
        </w:rPr>
      </w:pPr>
      <w:r w:rsidRPr="00730838">
        <w:rPr>
          <w:color w:val="auto"/>
          <w:lang w:val="sq-AL"/>
        </w:rPr>
        <w:t xml:space="preserve">Ftesa për propozime shpallet në ueb faqen e </w:t>
      </w:r>
      <w:r w:rsidR="00991596" w:rsidRPr="006230A9">
        <w:rPr>
          <w:color w:val="auto"/>
          <w:lang w:val="sq-AL"/>
        </w:rPr>
        <w:t xml:space="preserve">Zyrës së Kryeministrit </w:t>
      </w:r>
      <w:hyperlink r:id="rId9" w:history="1">
        <w:r w:rsidR="00991596" w:rsidRPr="006230A9">
          <w:rPr>
            <w:rStyle w:val="Hyperlink"/>
            <w:color w:val="auto"/>
            <w:lang w:val="sq-AL"/>
          </w:rPr>
          <w:t>https://kryeministri.rks-gov.net/</w:t>
        </w:r>
      </w:hyperlink>
      <w:r w:rsidR="00991596" w:rsidRPr="006230A9">
        <w:rPr>
          <w:color w:val="auto"/>
          <w:lang w:val="sq-AL"/>
        </w:rPr>
        <w:t xml:space="preserve"> </w:t>
      </w:r>
    </w:p>
    <w:p w:rsidR="001927E0" w:rsidRPr="00A90B80" w:rsidRDefault="00E74837">
      <w:pPr>
        <w:spacing w:after="350" w:line="246" w:lineRule="auto"/>
        <w:rPr>
          <w:b/>
          <w:color w:val="auto"/>
          <w:lang w:val="sq-AL"/>
        </w:rPr>
      </w:pPr>
      <w:r w:rsidRPr="00A90B80">
        <w:rPr>
          <w:b/>
          <w:color w:val="auto"/>
          <w:lang w:val="sq-AL"/>
        </w:rPr>
        <w:t xml:space="preserve">Fushëveprimi </w:t>
      </w:r>
    </w:p>
    <w:p w:rsidR="001927E0" w:rsidRPr="00A90B80" w:rsidRDefault="00E74837" w:rsidP="006230A9">
      <w:pPr>
        <w:spacing w:after="355"/>
        <w:rPr>
          <w:b/>
          <w:color w:val="auto"/>
          <w:lang w:val="sq-AL"/>
        </w:rPr>
      </w:pPr>
      <w:r w:rsidRPr="00A90B80">
        <w:rPr>
          <w:b/>
          <w:color w:val="auto"/>
          <w:lang w:val="sq-AL"/>
        </w:rPr>
        <w:t xml:space="preserve">Në kuadër të thirrjes </w:t>
      </w:r>
      <w:r w:rsidR="00D870D0" w:rsidRPr="00A90B80">
        <w:rPr>
          <w:b/>
          <w:color w:val="auto"/>
          <w:lang w:val="sq-AL"/>
        </w:rPr>
        <w:t>për mbështetje</w:t>
      </w:r>
      <w:r w:rsidRPr="00A90B80">
        <w:rPr>
          <w:b/>
          <w:color w:val="auto"/>
          <w:lang w:val="sq-AL"/>
        </w:rPr>
        <w:t xml:space="preserve"> të këtyre iniciativave, ABGJ fton organizatat joqeveritare që të aplikojnë për realizimin e iniciativave </w:t>
      </w:r>
      <w:proofErr w:type="spellStart"/>
      <w:r w:rsidRPr="00A90B80">
        <w:rPr>
          <w:b/>
          <w:color w:val="auto"/>
          <w:lang w:val="sq-AL"/>
        </w:rPr>
        <w:t>vetëdijësuese</w:t>
      </w:r>
      <w:proofErr w:type="spellEnd"/>
      <w:r w:rsidRPr="00A90B80">
        <w:rPr>
          <w:b/>
          <w:color w:val="auto"/>
          <w:lang w:val="sq-AL"/>
        </w:rPr>
        <w:t xml:space="preserve"> përmes aktiviteteve  të një ose disa nga pikat  si në vijim: 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Sesione</w:t>
      </w:r>
      <w:r w:rsidR="006230A9" w:rsidRPr="00A90B80">
        <w:rPr>
          <w:rFonts w:eastAsia="Times New Roman" w:cs="Times New Roman"/>
          <w:bCs/>
          <w:color w:val="auto"/>
          <w:lang w:val="sq-AL"/>
        </w:rPr>
        <w:t>/tryeza</w:t>
      </w:r>
      <w:r w:rsidRPr="00A90B80">
        <w:rPr>
          <w:rFonts w:eastAsia="Times New Roman" w:cs="Times New Roman"/>
          <w:bCs/>
          <w:color w:val="auto"/>
          <w:lang w:val="sq-AL"/>
        </w:rPr>
        <w:t xml:space="preserve"> informuese dhe edukative</w:t>
      </w:r>
      <w:r w:rsidRPr="00A90B80">
        <w:rPr>
          <w:rFonts w:eastAsia="Times New Roman" w:cs="Times New Roman"/>
          <w:color w:val="auto"/>
          <w:lang w:val="sq-AL"/>
        </w:rPr>
        <w:t xml:space="preserve"> për identifikimin e hershëm të shenjave të dhunës dhe mënyrat e parandalimit.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Informim praktik</w:t>
      </w:r>
      <w:r w:rsidRPr="00A90B80">
        <w:rPr>
          <w:rFonts w:eastAsia="Times New Roman" w:cs="Times New Roman"/>
          <w:color w:val="auto"/>
          <w:lang w:val="sq-AL"/>
        </w:rPr>
        <w:t xml:space="preserve"> për raportimin e rasteve dhe qasjen në mekanizmat institucionalë të përkrahjes.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>Trajnime dhe diskutime</w:t>
      </w:r>
      <w:r w:rsidRPr="00A90B80">
        <w:rPr>
          <w:rFonts w:eastAsia="Times New Roman" w:cs="Times New Roman"/>
          <w:color w:val="auto"/>
          <w:lang w:val="sq-AL"/>
        </w:rPr>
        <w:t xml:space="preserve"> për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stereotip</w:t>
      </w:r>
      <w:r w:rsidR="006230A9" w:rsidRPr="00A90B80">
        <w:rPr>
          <w:rFonts w:eastAsia="Times New Roman" w:cs="Times New Roman"/>
          <w:color w:val="auto"/>
          <w:lang w:val="sq-AL"/>
        </w:rPr>
        <w:t>et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 gjinore dhe ndikimit të tyre në dhunë. </w:t>
      </w:r>
    </w:p>
    <w:p w:rsidR="00991596" w:rsidRPr="00A90B80" w:rsidRDefault="00991596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rFonts w:eastAsia="Times New Roman" w:cs="Times New Roman"/>
          <w:bCs/>
          <w:color w:val="auto"/>
          <w:lang w:val="sq-AL"/>
        </w:rPr>
        <w:t xml:space="preserve">Aktivitete </w:t>
      </w:r>
      <w:proofErr w:type="spellStart"/>
      <w:r w:rsidRPr="00A90B80">
        <w:rPr>
          <w:rFonts w:eastAsia="Times New Roman" w:cs="Times New Roman"/>
          <w:bCs/>
          <w:color w:val="auto"/>
          <w:lang w:val="sq-AL"/>
        </w:rPr>
        <w:t>ndërgjegjësuese</w:t>
      </w:r>
      <w:proofErr w:type="spellEnd"/>
      <w:r w:rsidRPr="00A90B80">
        <w:rPr>
          <w:rFonts w:eastAsia="Times New Roman" w:cs="Times New Roman"/>
          <w:bCs/>
          <w:color w:val="auto"/>
          <w:lang w:val="sq-AL"/>
        </w:rPr>
        <w:t xml:space="preserve"> në shkolla dhe komunitet</w:t>
      </w:r>
      <w:r w:rsidRPr="00A90B80">
        <w:rPr>
          <w:rFonts w:eastAsia="Times New Roman" w:cs="Times New Roman"/>
          <w:color w:val="auto"/>
          <w:lang w:val="sq-AL"/>
        </w:rPr>
        <w:t xml:space="preserve"> për format e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bullizmit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 dhe dhunës </w:t>
      </w:r>
      <w:proofErr w:type="spellStart"/>
      <w:r w:rsidRPr="00A90B80">
        <w:rPr>
          <w:rFonts w:eastAsia="Times New Roman" w:cs="Times New Roman"/>
          <w:color w:val="auto"/>
          <w:lang w:val="sq-AL"/>
        </w:rPr>
        <w:t>online</w:t>
      </w:r>
      <w:proofErr w:type="spellEnd"/>
      <w:r w:rsidRPr="00A90B80">
        <w:rPr>
          <w:rFonts w:eastAsia="Times New Roman" w:cs="Times New Roman"/>
          <w:color w:val="auto"/>
          <w:lang w:val="sq-AL"/>
        </w:rPr>
        <w:t xml:space="preserve">. </w:t>
      </w:r>
    </w:p>
    <w:p w:rsidR="00991596" w:rsidRPr="00A90B80" w:rsidRDefault="006230A9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color w:val="auto"/>
          <w:lang w:val="sq-AL"/>
        </w:rPr>
        <w:t xml:space="preserve">Video të shkurta </w:t>
      </w:r>
      <w:proofErr w:type="spellStart"/>
      <w:r w:rsidRPr="00A90B80">
        <w:rPr>
          <w:color w:val="auto"/>
          <w:lang w:val="sq-AL"/>
        </w:rPr>
        <w:t>vetëdijsuese</w:t>
      </w:r>
      <w:proofErr w:type="spellEnd"/>
      <w:r w:rsidRPr="00A90B80">
        <w:rPr>
          <w:color w:val="auto"/>
          <w:lang w:val="sq-AL"/>
        </w:rPr>
        <w:t xml:space="preserve"> në rrjete sociale</w:t>
      </w:r>
      <w:r w:rsidR="00FD3A8E" w:rsidRPr="00A90B80">
        <w:rPr>
          <w:color w:val="auto"/>
          <w:lang w:val="sq-AL"/>
        </w:rPr>
        <w:t xml:space="preserve"> për parandalimin e ngacmimit </w:t>
      </w:r>
      <w:r w:rsidR="00A90B80" w:rsidRPr="00A90B80">
        <w:rPr>
          <w:color w:val="auto"/>
          <w:lang w:val="sq-AL"/>
        </w:rPr>
        <w:t xml:space="preserve">dhe abuzimit </w:t>
      </w:r>
      <w:r w:rsidR="00FD3A8E" w:rsidRPr="00A90B80">
        <w:rPr>
          <w:color w:val="auto"/>
          <w:lang w:val="sq-AL"/>
        </w:rPr>
        <w:t>seksual</w:t>
      </w:r>
      <w:r w:rsidR="00A90B80" w:rsidRPr="00A90B80">
        <w:rPr>
          <w:color w:val="auto"/>
          <w:lang w:val="sq-AL"/>
        </w:rPr>
        <w:t xml:space="preserve"> </w:t>
      </w:r>
      <w:r w:rsidR="00FD3A8E" w:rsidRPr="00A90B80">
        <w:rPr>
          <w:color w:val="auto"/>
          <w:lang w:val="sq-AL"/>
        </w:rPr>
        <w:t xml:space="preserve">të </w:t>
      </w:r>
      <w:r w:rsidR="00A90B80" w:rsidRPr="00A90B80">
        <w:rPr>
          <w:color w:val="auto"/>
          <w:lang w:val="sq-AL"/>
        </w:rPr>
        <w:t>fëmijëve</w:t>
      </w:r>
      <w:r w:rsidR="00FD3A8E" w:rsidRPr="00A90B80">
        <w:rPr>
          <w:color w:val="auto"/>
          <w:lang w:val="sq-AL"/>
        </w:rPr>
        <w:t xml:space="preserve"> dhe të </w:t>
      </w:r>
      <w:proofErr w:type="spellStart"/>
      <w:r w:rsidR="00A90B80" w:rsidRPr="00A90B80">
        <w:rPr>
          <w:color w:val="auto"/>
          <w:lang w:val="sq-AL"/>
        </w:rPr>
        <w:t>rinjëve</w:t>
      </w:r>
      <w:proofErr w:type="spellEnd"/>
    </w:p>
    <w:p w:rsidR="006230A9" w:rsidRPr="00A90B80" w:rsidRDefault="006230A9" w:rsidP="006230A9">
      <w:pPr>
        <w:pStyle w:val="ListParagraph"/>
        <w:numPr>
          <w:ilvl w:val="0"/>
          <w:numId w:val="15"/>
        </w:numPr>
        <w:rPr>
          <w:color w:val="auto"/>
          <w:lang w:val="sq-AL"/>
        </w:rPr>
      </w:pPr>
      <w:r w:rsidRPr="00A90B80">
        <w:rPr>
          <w:color w:val="auto"/>
          <w:lang w:val="sq-AL"/>
        </w:rPr>
        <w:t xml:space="preserve">Fushatë me figura publike, artist/e te rinj/reja, qe përçojnë mesazhe </w:t>
      </w:r>
      <w:proofErr w:type="spellStart"/>
      <w:r w:rsidRPr="00A90B80">
        <w:rPr>
          <w:color w:val="auto"/>
          <w:lang w:val="sq-AL"/>
        </w:rPr>
        <w:t>vetëdijesuese</w:t>
      </w:r>
      <w:proofErr w:type="spellEnd"/>
      <w:r w:rsidRPr="00A90B80">
        <w:rPr>
          <w:color w:val="auto"/>
          <w:lang w:val="sq-AL"/>
        </w:rPr>
        <w:t xml:space="preserve"> </w:t>
      </w:r>
      <w:r w:rsidR="00A90B80" w:rsidRPr="00A90B80">
        <w:rPr>
          <w:color w:val="auto"/>
          <w:lang w:val="sq-AL"/>
        </w:rPr>
        <w:t>për</w:t>
      </w:r>
      <w:r w:rsidRPr="00A90B80">
        <w:rPr>
          <w:color w:val="auto"/>
          <w:lang w:val="sq-AL"/>
        </w:rPr>
        <w:t xml:space="preserve"> dhunën </w:t>
      </w:r>
      <w:proofErr w:type="spellStart"/>
      <w:r w:rsidRPr="00A90B80">
        <w:rPr>
          <w:color w:val="auto"/>
          <w:lang w:val="sq-AL"/>
        </w:rPr>
        <w:t>on</w:t>
      </w:r>
      <w:proofErr w:type="spellEnd"/>
      <w:r w:rsidRPr="00A90B80">
        <w:rPr>
          <w:color w:val="auto"/>
          <w:lang w:val="sq-AL"/>
        </w:rPr>
        <w:t xml:space="preserve"> linë </w:t>
      </w:r>
      <w:r w:rsidRPr="00A90B80">
        <w:rPr>
          <w:rStyle w:val="Strong"/>
          <w:rFonts w:cs="Times New Roman"/>
          <w:b w:val="0"/>
          <w:color w:val="auto"/>
          <w:lang w:val="sq-AL"/>
        </w:rPr>
        <w:t>ndaj të rejave dhe të rinjve</w:t>
      </w:r>
      <w:r w:rsidRPr="00A90B80">
        <w:rPr>
          <w:color w:val="auto"/>
          <w:lang w:val="sq-AL"/>
        </w:rPr>
        <w:t xml:space="preserve">, </w:t>
      </w:r>
      <w:r w:rsidR="00A90B80" w:rsidRPr="00A90B80">
        <w:rPr>
          <w:color w:val="auto"/>
          <w:lang w:val="sq-AL"/>
        </w:rPr>
        <w:t>ngacmimin seksual</w:t>
      </w:r>
      <w:r w:rsidRPr="00A90B80">
        <w:rPr>
          <w:color w:val="auto"/>
          <w:lang w:val="sq-AL"/>
        </w:rPr>
        <w:t xml:space="preserve">, </w:t>
      </w:r>
      <w:proofErr w:type="spellStart"/>
      <w:r w:rsidRPr="00A90B80">
        <w:rPr>
          <w:color w:val="auto"/>
          <w:lang w:val="sq-AL"/>
        </w:rPr>
        <w:t>bullizimin</w:t>
      </w:r>
      <w:proofErr w:type="spellEnd"/>
      <w:r w:rsidRPr="00A90B80">
        <w:rPr>
          <w:color w:val="auto"/>
          <w:lang w:val="sq-AL"/>
        </w:rPr>
        <w:t>;</w:t>
      </w:r>
    </w:p>
    <w:p w:rsidR="006230A9" w:rsidRPr="00A90B80" w:rsidRDefault="00E74837" w:rsidP="006230A9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r w:rsidRPr="00A90B80">
        <w:rPr>
          <w:color w:val="auto"/>
          <w:lang w:val="sq-AL"/>
        </w:rPr>
        <w:t>Iniciativa te arteve pamore me fokus angazhimin e</w:t>
      </w:r>
      <w:r w:rsidR="00A90B80" w:rsidRPr="00A90B80">
        <w:rPr>
          <w:color w:val="auto"/>
          <w:lang w:val="sq-AL"/>
        </w:rPr>
        <w:t xml:space="preserve"> te rinjve ne luftimin e</w:t>
      </w:r>
      <w:r w:rsidRPr="00A90B80">
        <w:rPr>
          <w:color w:val="auto"/>
          <w:lang w:val="sq-AL"/>
        </w:rPr>
        <w:t xml:space="preserve"> </w:t>
      </w:r>
      <w:r w:rsidR="006230A9" w:rsidRPr="00A90B80">
        <w:rPr>
          <w:color w:val="auto"/>
          <w:lang w:val="sq-AL"/>
        </w:rPr>
        <w:t xml:space="preserve">dhunës </w:t>
      </w:r>
      <w:proofErr w:type="spellStart"/>
      <w:r w:rsidR="006230A9" w:rsidRPr="00A90B80">
        <w:rPr>
          <w:color w:val="auto"/>
          <w:lang w:val="sq-AL"/>
        </w:rPr>
        <w:t>online</w:t>
      </w:r>
      <w:proofErr w:type="spellEnd"/>
    </w:p>
    <w:p w:rsidR="00D1056F" w:rsidRPr="003E3C10" w:rsidRDefault="00E74837" w:rsidP="003E3C10">
      <w:pPr>
        <w:pStyle w:val="ListParagraph"/>
        <w:numPr>
          <w:ilvl w:val="0"/>
          <w:numId w:val="15"/>
        </w:numPr>
        <w:spacing w:before="240" w:after="448" w:line="240" w:lineRule="auto"/>
        <w:jc w:val="left"/>
        <w:rPr>
          <w:color w:val="auto"/>
          <w:lang w:val="sq-AL"/>
        </w:rPr>
      </w:pPr>
      <w:proofErr w:type="spellStart"/>
      <w:r w:rsidRPr="00A90B80">
        <w:rPr>
          <w:color w:val="auto"/>
          <w:lang w:val="sq-AL"/>
        </w:rPr>
        <w:t>Instalacione</w:t>
      </w:r>
      <w:proofErr w:type="spellEnd"/>
      <w:r w:rsidRPr="00A90B80">
        <w:rPr>
          <w:color w:val="auto"/>
          <w:lang w:val="sq-AL"/>
        </w:rPr>
        <w:t xml:space="preserve"> artistike </w:t>
      </w:r>
      <w:proofErr w:type="spellStart"/>
      <w:r w:rsidRPr="00A90B80">
        <w:rPr>
          <w:color w:val="auto"/>
          <w:lang w:val="sq-AL"/>
        </w:rPr>
        <w:t>senzibilizuese</w:t>
      </w:r>
      <w:proofErr w:type="spellEnd"/>
      <w:r w:rsidRPr="00A90B80">
        <w:rPr>
          <w:color w:val="auto"/>
          <w:lang w:val="sq-AL"/>
        </w:rPr>
        <w:t xml:space="preserve"> </w:t>
      </w:r>
      <w:r w:rsidR="00A90B80" w:rsidRPr="00A90B80">
        <w:rPr>
          <w:color w:val="auto"/>
          <w:lang w:val="sq-AL"/>
        </w:rPr>
        <w:t>për</w:t>
      </w:r>
      <w:r w:rsidR="00D1056F" w:rsidRPr="00A90B80">
        <w:rPr>
          <w:color w:val="auto"/>
          <w:lang w:val="sq-AL"/>
        </w:rPr>
        <w:t xml:space="preserve"> </w:t>
      </w:r>
      <w:r w:rsidR="00B55EDA" w:rsidRPr="00A90B80">
        <w:rPr>
          <w:color w:val="auto"/>
          <w:lang w:val="sq-AL"/>
        </w:rPr>
        <w:t>te rinjtë dhe te rejat</w:t>
      </w:r>
      <w:r w:rsidR="00A90B80" w:rsidRPr="00A90B80">
        <w:rPr>
          <w:lang w:val="sq-AL"/>
        </w:rPr>
        <w:t xml:space="preserve"> me fokus barazinë gjinore, parandalimin e ngacmimit dhe abuzimit seksual</w:t>
      </w:r>
    </w:p>
    <w:p w:rsidR="001927E0" w:rsidRPr="006230A9" w:rsidRDefault="00E74837">
      <w:pPr>
        <w:spacing w:after="76" w:line="240" w:lineRule="auto"/>
        <w:ind w:left="830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 w:rsidP="003910B3">
      <w:pPr>
        <w:spacing w:after="350" w:line="246" w:lineRule="auto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E drejta e aplikimit </w:t>
      </w:r>
    </w:p>
    <w:p w:rsidR="001927E0" w:rsidRPr="006230A9" w:rsidRDefault="00E74837">
      <w:pPr>
        <w:spacing w:after="37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drejtën e aplikimit e kanë të gjitha OJQ-të që: </w:t>
      </w:r>
    </w:p>
    <w:p w:rsidR="001927E0" w:rsidRPr="006230A9" w:rsidRDefault="00E74837">
      <w:pPr>
        <w:numPr>
          <w:ilvl w:val="1"/>
          <w:numId w:val="2"/>
        </w:numPr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Janë të regjistruara në regjistrin e organizatave jo qeveritare në Republikën e Kosovës dhe të cilat veprojnë në Republikën e Kosovës prej së paku 2 vite para datës së publikimit të thirrjes publike,  </w:t>
      </w:r>
    </w:p>
    <w:p w:rsidR="00D1056F" w:rsidRPr="006230A9" w:rsidRDefault="00E74837">
      <w:pPr>
        <w:numPr>
          <w:ilvl w:val="1"/>
          <w:numId w:val="2"/>
        </w:numPr>
        <w:spacing w:after="0"/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>Kanë së paku dy (</w:t>
      </w:r>
      <w:r w:rsidR="00D1056F" w:rsidRPr="006230A9">
        <w:rPr>
          <w:color w:val="auto"/>
          <w:lang w:val="sq-AL"/>
        </w:rPr>
        <w:t>2</w:t>
      </w:r>
      <w:r w:rsidRPr="006230A9">
        <w:rPr>
          <w:color w:val="auto"/>
          <w:lang w:val="sq-AL"/>
        </w:rPr>
        <w:t>) vite eksperiencë pune të dëshmuar</w:t>
      </w:r>
      <w:r w:rsidR="00E24813" w:rsidRPr="006230A9">
        <w:rPr>
          <w:color w:val="auto"/>
          <w:lang w:val="sq-AL"/>
        </w:rPr>
        <w:t xml:space="preserve"> </w:t>
      </w:r>
      <w:r w:rsidR="006230A9" w:rsidRPr="006230A9">
        <w:rPr>
          <w:color w:val="auto"/>
          <w:lang w:val="sq-AL"/>
        </w:rPr>
        <w:t>me projekte qe kanë</w:t>
      </w:r>
      <w:r w:rsidR="00E24813" w:rsidRPr="006230A9">
        <w:rPr>
          <w:color w:val="auto"/>
          <w:lang w:val="sq-AL"/>
        </w:rPr>
        <w:t xml:space="preserve"> fokus rininë </w:t>
      </w:r>
      <w:r w:rsidRPr="006230A9">
        <w:rPr>
          <w:color w:val="auto"/>
          <w:lang w:val="sq-AL"/>
        </w:rPr>
        <w:t xml:space="preserve"> </w:t>
      </w:r>
    </w:p>
    <w:p w:rsidR="001927E0" w:rsidRPr="006230A9" w:rsidRDefault="00D1056F" w:rsidP="00D1056F">
      <w:pPr>
        <w:spacing w:after="0"/>
        <w:ind w:left="811" w:firstLine="0"/>
        <w:rPr>
          <w:color w:val="auto"/>
          <w:lang w:val="sq-AL"/>
        </w:rPr>
      </w:pPr>
      <w:r w:rsidRPr="006230A9">
        <w:rPr>
          <w:color w:val="auto"/>
          <w:lang w:val="sq-AL"/>
        </w:rPr>
        <w:t>(</w:t>
      </w:r>
      <w:r w:rsidR="00E74837" w:rsidRPr="006230A9">
        <w:rPr>
          <w:color w:val="auto"/>
          <w:lang w:val="sq-AL"/>
        </w:rPr>
        <w:t xml:space="preserve">përmes kontratave, projekteve te realizuara) në fushat e lartpërmendura, </w:t>
      </w:r>
      <w:proofErr w:type="spellStart"/>
      <w:r w:rsidR="00E74837" w:rsidRPr="006230A9">
        <w:rPr>
          <w:color w:val="auto"/>
          <w:lang w:val="sq-AL"/>
        </w:rPr>
        <w:t>avokim</w:t>
      </w:r>
      <w:proofErr w:type="spellEnd"/>
      <w:r w:rsidR="00E74837" w:rsidRPr="006230A9">
        <w:rPr>
          <w:color w:val="auto"/>
          <w:lang w:val="sq-AL"/>
        </w:rPr>
        <w:t xml:space="preserve"> dhe ndërgjegjësim për të drejta</w:t>
      </w:r>
      <w:r w:rsidR="00D870D0" w:rsidRPr="006230A9">
        <w:rPr>
          <w:color w:val="auto"/>
          <w:lang w:val="sq-AL"/>
        </w:rPr>
        <w:t xml:space="preserve"> të njeriut, ba</w:t>
      </w:r>
      <w:r w:rsidRPr="006230A9">
        <w:rPr>
          <w:color w:val="auto"/>
          <w:lang w:val="sq-AL"/>
        </w:rPr>
        <w:t>razi gjinore</w:t>
      </w:r>
      <w:r w:rsidR="00E24813" w:rsidRPr="006230A9">
        <w:rPr>
          <w:color w:val="auto"/>
          <w:lang w:val="sq-AL"/>
        </w:rPr>
        <w:t xml:space="preserve">, </w:t>
      </w:r>
      <w:r w:rsidR="00E74837" w:rsidRPr="006230A9">
        <w:rPr>
          <w:color w:val="auto"/>
          <w:lang w:val="sq-AL"/>
        </w:rPr>
        <w:t>mbrojtje nga diskri</w:t>
      </w:r>
      <w:r w:rsidR="00D870D0" w:rsidRPr="006230A9">
        <w:rPr>
          <w:color w:val="auto"/>
          <w:lang w:val="sq-AL"/>
        </w:rPr>
        <w:t>minimi.</w:t>
      </w:r>
    </w:p>
    <w:p w:rsidR="001927E0" w:rsidRPr="006230A9" w:rsidRDefault="00E74837">
      <w:pPr>
        <w:numPr>
          <w:ilvl w:val="1"/>
          <w:numId w:val="2"/>
        </w:numPr>
        <w:ind w:hanging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Dëshmojnë se kanë ekspertizë profesionale te dëshmuar në fushat e lartpërmendura të dëshmuara me CV e stafit të angazhuar, ( të dëshmuara me kontrata të punës, aktivitetet te </w:t>
      </w:r>
      <w:r w:rsidR="00D870D0" w:rsidRPr="006230A9">
        <w:rPr>
          <w:color w:val="auto"/>
          <w:lang w:val="sq-AL"/>
        </w:rPr>
        <w:t xml:space="preserve">dokumentuara </w:t>
      </w:r>
      <w:r w:rsidRPr="006230A9">
        <w:rPr>
          <w:color w:val="auto"/>
          <w:lang w:val="sq-AL"/>
        </w:rPr>
        <w:t xml:space="preserve">me parë,  marrëveshje të shërbimeve) </w:t>
      </w:r>
    </w:p>
    <w:p w:rsidR="001927E0" w:rsidRPr="006230A9" w:rsidRDefault="00E74837">
      <w:pPr>
        <w:spacing w:line="240" w:lineRule="auto"/>
        <w:ind w:left="81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3910B3" w:rsidRPr="006230A9" w:rsidRDefault="003910B3" w:rsidP="003910B3">
      <w:pPr>
        <w:spacing w:after="340"/>
        <w:ind w:right="281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lastRenderedPageBreak/>
        <w:t>6. Përkrahja financiare</w:t>
      </w:r>
      <w:r w:rsidRPr="006230A9">
        <w:rPr>
          <w:color w:val="auto"/>
          <w:lang w:val="sq-AL"/>
        </w:rPr>
        <w:t xml:space="preserve"> </w:t>
      </w:r>
    </w:p>
    <w:p w:rsidR="003910B3" w:rsidRPr="006230A9" w:rsidRDefault="003910B3" w:rsidP="003910B3">
      <w:pPr>
        <w:spacing w:after="340"/>
        <w:ind w:left="76"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Thirrja për aplikim financohet nga fondet publike të ABGJ-së, </w:t>
      </w:r>
      <w:proofErr w:type="spellStart"/>
      <w:r w:rsidRPr="006230A9">
        <w:rPr>
          <w:color w:val="auto"/>
          <w:lang w:val="sq-AL"/>
        </w:rPr>
        <w:t>specifikisht</w:t>
      </w:r>
      <w:proofErr w:type="spellEnd"/>
      <w:r w:rsidRPr="006230A9">
        <w:rPr>
          <w:color w:val="auto"/>
          <w:lang w:val="sq-AL"/>
        </w:rPr>
        <w:t xml:space="preserve"> </w:t>
      </w:r>
      <w:r w:rsidR="005C12DF" w:rsidRPr="006230A9">
        <w:rPr>
          <w:color w:val="auto"/>
          <w:lang w:val="sq-AL"/>
        </w:rPr>
        <w:t>buxheti i Kosovës për vitin 2026</w:t>
      </w:r>
      <w:r w:rsidRPr="006230A9">
        <w:rPr>
          <w:color w:val="auto"/>
          <w:lang w:val="sq-AL"/>
        </w:rPr>
        <w:t>, nga vija buxhetore “</w:t>
      </w:r>
      <w:proofErr w:type="spellStart"/>
      <w:r w:rsidRPr="006230A9">
        <w:rPr>
          <w:color w:val="auto"/>
          <w:lang w:val="sq-AL"/>
        </w:rPr>
        <w:t>Grante</w:t>
      </w:r>
      <w:proofErr w:type="spellEnd"/>
      <w:r w:rsidRPr="006230A9">
        <w:rPr>
          <w:color w:val="auto"/>
          <w:lang w:val="sq-AL"/>
        </w:rPr>
        <w:t xml:space="preserve"> dhe Subvencione”, në shumën totale 40.000.00 Euro. </w:t>
      </w:r>
    </w:p>
    <w:p w:rsidR="003910B3" w:rsidRPr="006230A9" w:rsidRDefault="003910B3" w:rsidP="003910B3">
      <w:pPr>
        <w:spacing w:after="340"/>
        <w:ind w:left="436" w:right="281" w:firstLine="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1.Vlera totale e planifikuar e thirrjes është 40.000.00 Euro.  </w:t>
      </w:r>
    </w:p>
    <w:p w:rsidR="003910B3" w:rsidRPr="006230A9" w:rsidRDefault="003910B3" w:rsidP="003910B3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Shuma minimale e mbështetjes financiare që do të ndahet për çdo projekt individual është 5,000.00 Euro, ndërsa shuma maksimale është 15,000.00 Euro.  </w:t>
      </w:r>
    </w:p>
    <w:p w:rsidR="003910B3" w:rsidRPr="006230A9" w:rsidRDefault="003910B3" w:rsidP="003910B3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OJQ-të mund të aplikojnë në kuadër të kësaj thirrje me </w:t>
      </w:r>
      <w:r w:rsidRPr="006230A9">
        <w:rPr>
          <w:b/>
          <w:color w:val="auto"/>
          <w:lang w:val="sq-AL"/>
        </w:rPr>
        <w:t>vetëm me një (1) projekt</w:t>
      </w:r>
      <w:r w:rsidRPr="006230A9">
        <w:rPr>
          <w:color w:val="auto"/>
          <w:lang w:val="sq-AL"/>
        </w:rPr>
        <w:t xml:space="preserve">.  </w:t>
      </w:r>
    </w:p>
    <w:p w:rsidR="003910B3" w:rsidRPr="006230A9" w:rsidRDefault="003910B3" w:rsidP="003910B3">
      <w:pPr>
        <w:spacing w:after="340"/>
        <w:ind w:right="281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7.  Kohëzgjatja e projektit </w:t>
      </w:r>
    </w:p>
    <w:p w:rsidR="009A6ECB" w:rsidRPr="006230A9" w:rsidRDefault="003910B3" w:rsidP="009A6ECB">
      <w:pPr>
        <w:numPr>
          <w:ilvl w:val="0"/>
          <w:numId w:val="2"/>
        </w:numPr>
        <w:spacing w:after="340"/>
        <w:ind w:right="28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Periudha e zbatimit të projektit është </w:t>
      </w:r>
      <w:r w:rsidR="009A6ECB" w:rsidRPr="006230A9">
        <w:rPr>
          <w:color w:val="auto"/>
          <w:lang w:val="sq-AL"/>
        </w:rPr>
        <w:t>tre</w:t>
      </w:r>
      <w:r w:rsidRPr="006230A9">
        <w:rPr>
          <w:color w:val="auto"/>
          <w:lang w:val="sq-AL"/>
        </w:rPr>
        <w:t xml:space="preserve"> muaj nga dita e nënshkrimit të marrëveshjes. </w:t>
      </w:r>
    </w:p>
    <w:p w:rsidR="001927E0" w:rsidRPr="006230A9" w:rsidRDefault="009A6ECB" w:rsidP="009A6ECB">
      <w:pPr>
        <w:spacing w:after="340"/>
        <w:ind w:left="436" w:right="281" w:firstLine="0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8.   </w:t>
      </w:r>
      <w:r w:rsidR="00E74837" w:rsidRPr="006230A9">
        <w:rPr>
          <w:b/>
          <w:color w:val="auto"/>
          <w:lang w:val="sq-AL"/>
        </w:rPr>
        <w:t xml:space="preserve">Kriteret </w:t>
      </w:r>
      <w:r w:rsidR="00E74837"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8" w:line="359" w:lineRule="auto"/>
        <w:ind w:right="-15"/>
        <w:jc w:val="left"/>
        <w:rPr>
          <w:color w:val="auto"/>
          <w:lang w:val="sq-AL"/>
        </w:rPr>
      </w:pPr>
      <w:r w:rsidRPr="006230A9">
        <w:rPr>
          <w:b/>
          <w:i/>
          <w:color w:val="auto"/>
          <w:u w:val="single" w:color="000000"/>
          <w:lang w:val="sq-AL"/>
        </w:rPr>
        <w:t>a. Kriteret e përgjithshme</w:t>
      </w:r>
      <w:r w:rsidRPr="006230A9">
        <w:rPr>
          <w:b/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355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Për t’u kualifikuar për mbështetje financiare publike,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duhet të plotësojnë kriteret e përgjithshme minimale të përcaktuara me dispozitat në vijim:  </w:t>
      </w:r>
    </w:p>
    <w:p w:rsidR="001927E0" w:rsidRPr="006230A9" w:rsidRDefault="00E74837">
      <w:pPr>
        <w:spacing w:after="77" w:line="290" w:lineRule="auto"/>
        <w:ind w:left="446" w:right="44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1.1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jenë të regjistruar si OJQ sipas kërkesave të legjislacionit në fuqi për lirinë e </w:t>
      </w:r>
      <w:proofErr w:type="spellStart"/>
      <w:r w:rsidRPr="006230A9">
        <w:rPr>
          <w:color w:val="auto"/>
          <w:lang w:val="sq-AL"/>
        </w:rPr>
        <w:t>asociimit</w:t>
      </w:r>
      <w:proofErr w:type="spellEnd"/>
      <w:r w:rsidRPr="006230A9">
        <w:rPr>
          <w:color w:val="auto"/>
          <w:lang w:val="sq-AL"/>
        </w:rPr>
        <w:t xml:space="preserve"> në organizata jo-qeveritare në Republikën e Kosovës apo në shtetin ku është e koncentruar diaspora;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77" w:line="290" w:lineRule="auto"/>
        <w:ind w:left="446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1.2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jenë të pajisur me numër fiskal sipas kërkesave të legjislacionit tatimor të Republikës së Kosovës, përkatësisht dokumentacionin ekuivalent sipas legjislacionit të shtetit përkatës për OJQ-në e huaj;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F90926">
      <w:pPr>
        <w:ind w:left="436" w:right="160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1.3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Vërtetim</w:t>
      </w:r>
      <w:r w:rsidR="00E74837" w:rsidRPr="006230A9">
        <w:rPr>
          <w:color w:val="auto"/>
          <w:lang w:val="sq-AL"/>
        </w:rPr>
        <w:t xml:space="preserve"> tatimor jo më të vjetër së 3 muaj, ku specifikon se </w:t>
      </w:r>
      <w:proofErr w:type="spellStart"/>
      <w:r w:rsidR="00E74837" w:rsidRPr="006230A9">
        <w:rPr>
          <w:color w:val="auto"/>
          <w:lang w:val="sq-AL"/>
        </w:rPr>
        <w:t>aplikanti</w:t>
      </w:r>
      <w:proofErr w:type="spellEnd"/>
      <w:r w:rsidR="00E74837" w:rsidRPr="006230A9">
        <w:rPr>
          <w:color w:val="auto"/>
          <w:lang w:val="sq-AL"/>
        </w:rPr>
        <w:t xml:space="preserve"> nuk ka borxhe të pashlyera ndaj Administratës Tatimore të Kosovës. </w:t>
      </w:r>
      <w:r w:rsidR="00E74837"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1.4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kenë kryer të gjitha detyrimet nga mbështetja financiare paraprake, nëse kanë përfituar nga burimet publike të financimit; (formulari 13)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right="302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1.5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Të mos ketë pranuar mjete nga burime tjera të financimit për të njëjtat aktivitete; (formulari 11)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436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1.6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Të mos jetë në proces të falimentimit apo çregjistrimit të organizatës,</w:t>
      </w:r>
      <w:r w:rsidR="003349BF" w:rsidRPr="006230A9">
        <w:rPr>
          <w:color w:val="auto"/>
          <w:lang w:val="sq-AL"/>
        </w:rPr>
        <w:t xml:space="preserve"> të</w:t>
      </w:r>
      <w:r w:rsidRPr="006230A9">
        <w:rPr>
          <w:color w:val="auto"/>
          <w:lang w:val="sq-AL"/>
        </w:rPr>
        <w:t xml:space="preserve"> marr nga gjykata Komerciale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77" w:line="290" w:lineRule="auto"/>
        <w:ind w:left="446" w:right="282" w:hanging="370"/>
        <w:jc w:val="left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1.7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mos ekzistojë ndonjë konflikt interesi në mes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, përkatësisht përfaqësuesve/ udhëheqësit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dhe organizatës buxhetore apo institucionit publik, siç parashihet me legjislacionin në fuqi në Republikën e Kosovës. </w:t>
      </w:r>
      <w:bookmarkStart w:id="0" w:name="_GoBack"/>
      <w:bookmarkEnd w:id="0"/>
    </w:p>
    <w:p w:rsidR="001927E0" w:rsidRPr="006230A9" w:rsidRDefault="00E74837">
      <w:pPr>
        <w:spacing w:after="0"/>
        <w:ind w:left="436" w:right="141" w:hanging="360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1.8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Në rast se projekti do të </w:t>
      </w:r>
      <w:proofErr w:type="spellStart"/>
      <w:r w:rsidRPr="006230A9">
        <w:rPr>
          <w:color w:val="auto"/>
          <w:lang w:val="sq-AL"/>
        </w:rPr>
        <w:t>implementohet</w:t>
      </w:r>
      <w:proofErr w:type="spellEnd"/>
      <w:r w:rsidRPr="006230A9">
        <w:rPr>
          <w:color w:val="auto"/>
          <w:lang w:val="sq-AL"/>
        </w:rPr>
        <w:t xml:space="preserve"> në partneritet, dëshmi/marrëveshje mes </w:t>
      </w:r>
      <w:r w:rsidR="00F90926" w:rsidRPr="006230A9">
        <w:rPr>
          <w:color w:val="auto"/>
          <w:lang w:val="sq-AL"/>
        </w:rPr>
        <w:t>partnerëve për</w:t>
      </w:r>
      <w:r w:rsidRPr="006230A9">
        <w:rPr>
          <w:color w:val="auto"/>
          <w:lang w:val="sq-AL"/>
        </w:rPr>
        <w:t xml:space="preserve"> përgjegjësitë e secilit partner në projekt. (Formulari 12)</w:t>
      </w:r>
      <w:r w:rsidRPr="006230A9">
        <w:rPr>
          <w:i/>
          <w:color w:val="auto"/>
          <w:lang w:val="sq-AL"/>
        </w:rPr>
        <w:t xml:space="preserve"> </w:t>
      </w:r>
    </w:p>
    <w:p w:rsidR="0011705C" w:rsidRDefault="00F90926">
      <w:pPr>
        <w:spacing w:after="361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1.9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Kopjen</w:t>
      </w:r>
      <w:r w:rsidR="00E74837" w:rsidRPr="006230A9">
        <w:rPr>
          <w:color w:val="auto"/>
          <w:lang w:val="sq-AL"/>
        </w:rPr>
        <w:t xml:space="preserve"> e dokumentit identifikues të </w:t>
      </w:r>
      <w:proofErr w:type="spellStart"/>
      <w:r w:rsidR="00E74837" w:rsidRPr="006230A9">
        <w:rPr>
          <w:color w:val="auto"/>
          <w:lang w:val="sq-AL"/>
        </w:rPr>
        <w:t>aplikue</w:t>
      </w:r>
      <w:r w:rsidR="0011705C">
        <w:rPr>
          <w:color w:val="auto"/>
          <w:lang w:val="sq-AL"/>
        </w:rPr>
        <w:t>sit</w:t>
      </w:r>
      <w:proofErr w:type="spellEnd"/>
      <w:r w:rsidR="0011705C">
        <w:rPr>
          <w:color w:val="auto"/>
          <w:lang w:val="sq-AL"/>
        </w:rPr>
        <w:t xml:space="preserve"> </w:t>
      </w:r>
    </w:p>
    <w:p w:rsidR="001927E0" w:rsidRPr="0011705C" w:rsidRDefault="0011705C" w:rsidP="0011705C">
      <w:pPr>
        <w:spacing w:after="361"/>
        <w:ind w:left="0" w:firstLine="0"/>
        <w:rPr>
          <w:lang w:val="sq-AL"/>
        </w:rPr>
      </w:pPr>
      <w:r w:rsidRPr="0011705C">
        <w:rPr>
          <w:rFonts w:eastAsiaTheme="minorHAnsi" w:cstheme="minorBidi"/>
          <w:color w:val="auto"/>
        </w:rPr>
        <w:lastRenderedPageBreak/>
        <w:t xml:space="preserve">1.10     </w:t>
      </w:r>
      <w:proofErr w:type="spellStart"/>
      <w:r w:rsidRPr="0011705C">
        <w:rPr>
          <w:rFonts w:eastAsiaTheme="minorHAnsi" w:cstheme="minorBidi"/>
          <w:color w:val="auto"/>
        </w:rPr>
        <w:t>Çertifikat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qe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aplikuesi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nuk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është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në</w:t>
      </w:r>
      <w:proofErr w:type="spellEnd"/>
      <w:r w:rsidRPr="0011705C">
        <w:rPr>
          <w:rFonts w:eastAsiaTheme="minorHAnsi" w:cstheme="minorBidi"/>
          <w:color w:val="auto"/>
        </w:rPr>
        <w:t xml:space="preserve"> </w:t>
      </w:r>
      <w:proofErr w:type="spellStart"/>
      <w:r w:rsidRPr="0011705C">
        <w:rPr>
          <w:rFonts w:eastAsiaTheme="minorHAnsi" w:cstheme="minorBidi"/>
          <w:color w:val="auto"/>
        </w:rPr>
        <w:t>hetime</w:t>
      </w:r>
      <w:proofErr w:type="spellEnd"/>
    </w:p>
    <w:p w:rsidR="0011705C" w:rsidRPr="006230A9" w:rsidRDefault="0011705C">
      <w:pPr>
        <w:spacing w:after="361"/>
        <w:rPr>
          <w:color w:val="auto"/>
          <w:lang w:val="sq-AL"/>
        </w:rPr>
      </w:pPr>
    </w:p>
    <w:p w:rsidR="001927E0" w:rsidRPr="006230A9" w:rsidRDefault="00E74837">
      <w:pPr>
        <w:numPr>
          <w:ilvl w:val="0"/>
          <w:numId w:val="3"/>
        </w:numPr>
        <w:spacing w:after="355" w:line="290" w:lineRule="auto"/>
        <w:ind w:right="282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Me qëllim të dëshmimit për përmbushjen e kritereve të përgjithshme, për paragrafët 1.1, 1.2. të këtij neni,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dorëzon certifikatat përkatëse; për paragrafin 1.3 vërtetimin tatimor në emër të </w:t>
      </w:r>
      <w:proofErr w:type="spellStart"/>
      <w:r w:rsidRPr="006230A9">
        <w:rPr>
          <w:color w:val="auto"/>
          <w:lang w:val="sq-AL"/>
        </w:rPr>
        <w:t>aplikuesit</w:t>
      </w:r>
      <w:proofErr w:type="spellEnd"/>
      <w:r w:rsidRPr="006230A9">
        <w:rPr>
          <w:color w:val="auto"/>
          <w:lang w:val="sq-AL"/>
        </w:rPr>
        <w:t xml:space="preserve"> i lëshuar nga Administrata Tatimore e Kosovës, dhe  1.4, 1.5., 1.6 dhe   1.7.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nënshkruan dhe dorëzon deklaratat përkatëse.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3"/>
        </w:numPr>
        <w:spacing w:after="350"/>
        <w:ind w:right="282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Në rast të dështimit për të përmbushur ndonjërin nga kriteret e përgjithshme,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nuk mund të kualifikohet për mbështetje financiare. </w:t>
      </w:r>
    </w:p>
    <w:p w:rsidR="001927E0" w:rsidRPr="006230A9" w:rsidRDefault="00E74837">
      <w:pPr>
        <w:spacing w:after="358" w:line="359" w:lineRule="auto"/>
        <w:ind w:right="-15"/>
        <w:jc w:val="left"/>
        <w:rPr>
          <w:color w:val="auto"/>
          <w:lang w:val="sq-AL"/>
        </w:rPr>
      </w:pPr>
      <w:r w:rsidRPr="006230A9">
        <w:rPr>
          <w:b/>
          <w:i/>
          <w:color w:val="auto"/>
          <w:u w:val="single" w:color="000000"/>
          <w:lang w:val="sq-AL"/>
        </w:rPr>
        <w:t>b. Kriteret Specifike</w:t>
      </w:r>
      <w:r w:rsidRPr="006230A9">
        <w:rPr>
          <w:b/>
          <w:i/>
          <w:color w:val="auto"/>
          <w:lang w:val="sq-AL"/>
        </w:rPr>
        <w:t xml:space="preserve">  </w:t>
      </w:r>
    </w:p>
    <w:p w:rsidR="001927E0" w:rsidRPr="006230A9" w:rsidRDefault="00E74837">
      <w:pPr>
        <w:spacing w:after="355"/>
        <w:ind w:right="179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Në mënyrë që aplikacioni të konsiderohet i kompletuar, </w:t>
      </w:r>
      <w:proofErr w:type="spellStart"/>
      <w:r w:rsidRPr="006230A9">
        <w:rPr>
          <w:color w:val="auto"/>
          <w:lang w:val="sq-AL"/>
        </w:rPr>
        <w:t>aplikuesi</w:t>
      </w:r>
      <w:proofErr w:type="spellEnd"/>
      <w:r w:rsidRPr="006230A9">
        <w:rPr>
          <w:color w:val="auto"/>
          <w:lang w:val="sq-AL"/>
        </w:rPr>
        <w:t xml:space="preserve"> duhet të plotësojnë edhe kriteret e veçanta minimale të parapara me dispozitat në vijim: 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1.1.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Të dorëzojnë brenda afatit të thirrjes projekt propozimin i cili ndër të tjera përmban: a)qëllimin e fushatës </w:t>
      </w:r>
      <w:proofErr w:type="spellStart"/>
      <w:r w:rsidRPr="006230A9">
        <w:rPr>
          <w:color w:val="auto"/>
          <w:lang w:val="sq-AL"/>
        </w:rPr>
        <w:t>vetedijesuese</w:t>
      </w:r>
      <w:proofErr w:type="spellEnd"/>
      <w:r w:rsidRPr="006230A9">
        <w:rPr>
          <w:color w:val="auto"/>
          <w:lang w:val="sq-AL"/>
        </w:rPr>
        <w:t xml:space="preserve">, b) Përshkrimin ideore/propozimin ideore </w:t>
      </w:r>
      <w:proofErr w:type="spellStart"/>
      <w:r w:rsidRPr="006230A9">
        <w:rPr>
          <w:color w:val="auto"/>
          <w:lang w:val="sq-AL"/>
        </w:rPr>
        <w:t>per</w:t>
      </w:r>
      <w:proofErr w:type="spellEnd"/>
      <w:r w:rsidRPr="006230A9">
        <w:rPr>
          <w:color w:val="auto"/>
          <w:lang w:val="sq-AL"/>
        </w:rPr>
        <w:t xml:space="preserve"> realizimin e  aktivitetit, c)objektivat specifike, d)aktivitetet e detajuar,  e) kalendarin e realizimit, f)lokacionin e zbatimit të projektit, g)rezultatet e synuara, h)rreziqet dhe qëndrueshmërinë, i)monitorimin dhe vlerësimin e projektit,  j) Audiencën se cilës i drejtohet 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1.2.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Projekt propozimi </w:t>
      </w:r>
      <w:r w:rsidR="00F90926" w:rsidRPr="006230A9">
        <w:rPr>
          <w:color w:val="auto"/>
          <w:lang w:val="sq-AL"/>
        </w:rPr>
        <w:t>duhet të</w:t>
      </w:r>
      <w:r w:rsidRPr="006230A9">
        <w:rPr>
          <w:color w:val="auto"/>
          <w:lang w:val="sq-AL"/>
        </w:rPr>
        <w:t xml:space="preserve"> jetë i shoqëruar me një propozim buxhet për secilin aktivitet të ndërmarrë për realizmin e tij , sipas formatit të përcaktuar sipas thirrjes publike dhe Manualit për zbatimin e Rregullores 04/2017 mbi kriteret standardet dhe procedurat e financimit publik të </w:t>
      </w:r>
      <w:r w:rsidRPr="006230A9">
        <w:rPr>
          <w:b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OJQ-ve, duke përshkruar dhe specifikuar në mënyrë të çartë secilin shpenzim brenda linjave buxhetore të propozuar.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1.3.</w:t>
      </w:r>
      <w:r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 Të dorëzojë të dhëna për stafin/personelin e projektit, </w:t>
      </w:r>
      <w:proofErr w:type="spellStart"/>
      <w:r w:rsidRPr="006230A9">
        <w:rPr>
          <w:color w:val="auto"/>
          <w:lang w:val="sq-AL"/>
        </w:rPr>
        <w:t>akterët</w:t>
      </w:r>
      <w:proofErr w:type="spellEnd"/>
      <w:r w:rsidRPr="006230A9">
        <w:rPr>
          <w:color w:val="auto"/>
          <w:lang w:val="sq-AL"/>
        </w:rPr>
        <w:t xml:space="preserve"> e angazhuar, </w:t>
      </w:r>
      <w:proofErr w:type="spellStart"/>
      <w:r w:rsidRPr="006230A9">
        <w:rPr>
          <w:color w:val="auto"/>
          <w:lang w:val="sq-AL"/>
        </w:rPr>
        <w:t>kontraktorët</w:t>
      </w:r>
      <w:proofErr w:type="spellEnd"/>
      <w:r w:rsidRPr="006230A9">
        <w:rPr>
          <w:color w:val="auto"/>
          <w:lang w:val="sq-AL"/>
        </w:rPr>
        <w:t xml:space="preserve">  duke specifikuar qartë detyrat e secilit, siguron  CV-të e tyre, referenca  nga angazhimet e tilla paraprake,  së bashku me një deklaratë/</w:t>
      </w:r>
      <w:proofErr w:type="spellStart"/>
      <w:r w:rsidRPr="006230A9">
        <w:rPr>
          <w:color w:val="auto"/>
          <w:lang w:val="sq-AL"/>
        </w:rPr>
        <w:t>parakontratë</w:t>
      </w:r>
      <w:proofErr w:type="spellEnd"/>
      <w:r w:rsidRPr="006230A9">
        <w:rPr>
          <w:color w:val="auto"/>
          <w:lang w:val="sq-AL"/>
        </w:rPr>
        <w:t xml:space="preserve"> me secilin  që planifikohet të angazhohen për zbatimin e projektit, në rast të përfitimit të mbështetjes financiare.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1.4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F90926" w:rsidRPr="006230A9">
        <w:rPr>
          <w:color w:val="auto"/>
          <w:lang w:val="sq-AL"/>
        </w:rPr>
        <w:t>Nëse</w:t>
      </w:r>
      <w:r w:rsidRPr="006230A9">
        <w:rPr>
          <w:color w:val="auto"/>
          <w:lang w:val="sq-AL"/>
        </w:rPr>
        <w:t xml:space="preserve"> është e aplikueshme; të sigurojnë dëshmitë e duhura për </w:t>
      </w:r>
      <w:r w:rsidR="009E0463" w:rsidRPr="006230A9">
        <w:rPr>
          <w:color w:val="auto"/>
          <w:lang w:val="sq-AL"/>
        </w:rPr>
        <w:t>projektin për</w:t>
      </w:r>
      <w:r w:rsidRPr="006230A9">
        <w:rPr>
          <w:color w:val="auto"/>
          <w:lang w:val="sq-AL"/>
        </w:rPr>
        <w:t xml:space="preserve"> të cilat kërkohet bashkëfinancim. 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ind w:left="542" w:right="281" w:hanging="466"/>
        <w:rPr>
          <w:color w:val="auto"/>
          <w:lang w:val="sq-AL"/>
        </w:rPr>
      </w:pPr>
      <w:r w:rsidRPr="006230A9">
        <w:rPr>
          <w:rFonts w:ascii="Calibri" w:eastAsia="Calibri" w:hAnsi="Calibri" w:cs="Calibri"/>
          <w:color w:val="auto"/>
          <w:lang w:val="sq-AL"/>
        </w:rPr>
        <w:t>1.5</w:t>
      </w:r>
      <w:r w:rsidR="00F90926" w:rsidRPr="006230A9">
        <w:rPr>
          <w:rFonts w:ascii="Calibri" w:eastAsia="Calibri" w:hAnsi="Calibri" w:cs="Calibri"/>
          <w:color w:val="auto"/>
          <w:lang w:val="sq-AL"/>
        </w:rPr>
        <w:t>.</w:t>
      </w:r>
      <w:r w:rsidR="00F90926" w:rsidRPr="006230A9">
        <w:rPr>
          <w:rFonts w:ascii="Arial" w:eastAsia="Arial" w:hAnsi="Arial" w:cs="Arial"/>
          <w:color w:val="auto"/>
          <w:lang w:val="sq-AL"/>
        </w:rPr>
        <w:t xml:space="preserve"> </w:t>
      </w:r>
      <w:r w:rsidR="00F90926" w:rsidRPr="006230A9">
        <w:rPr>
          <w:color w:val="auto"/>
          <w:lang w:val="sq-AL"/>
        </w:rPr>
        <w:t>Të</w:t>
      </w:r>
      <w:r w:rsidRPr="006230A9">
        <w:rPr>
          <w:color w:val="auto"/>
          <w:lang w:val="sq-AL"/>
        </w:rPr>
        <w:t xml:space="preserve"> dëshmojnë se kanë përvojë </w:t>
      </w:r>
      <w:r w:rsidR="00B55EDA" w:rsidRPr="006230A9">
        <w:rPr>
          <w:color w:val="auto"/>
          <w:lang w:val="sq-AL"/>
        </w:rPr>
        <w:t xml:space="preserve"> </w:t>
      </w:r>
      <w:r w:rsidR="00B55EDA" w:rsidRPr="006230A9">
        <w:rPr>
          <w:b/>
          <w:color w:val="auto"/>
          <w:lang w:val="sq-AL"/>
        </w:rPr>
        <w:t>si organizate rinore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në realizimin e fushatave </w:t>
      </w:r>
      <w:proofErr w:type="spellStart"/>
      <w:r w:rsidRPr="006230A9">
        <w:rPr>
          <w:color w:val="auto"/>
          <w:lang w:val="sq-AL"/>
        </w:rPr>
        <w:t>vetedijesuese</w:t>
      </w:r>
      <w:proofErr w:type="spellEnd"/>
      <w:r w:rsidRPr="006230A9">
        <w:rPr>
          <w:color w:val="auto"/>
          <w:lang w:val="sq-AL"/>
        </w:rPr>
        <w:t xml:space="preserve"> dhe </w:t>
      </w:r>
      <w:proofErr w:type="spellStart"/>
      <w:r w:rsidRPr="006230A9">
        <w:rPr>
          <w:color w:val="auto"/>
          <w:lang w:val="sq-AL"/>
        </w:rPr>
        <w:t>avokim</w:t>
      </w:r>
      <w:proofErr w:type="spellEnd"/>
      <w:r w:rsidRPr="006230A9">
        <w:rPr>
          <w:color w:val="auto"/>
          <w:lang w:val="sq-AL"/>
        </w:rPr>
        <w:t xml:space="preserve">  në fushën e barazisë gjinore</w:t>
      </w:r>
      <w:r w:rsidR="00B55EDA" w:rsidRPr="006230A9">
        <w:rPr>
          <w:color w:val="auto"/>
          <w:lang w:val="sq-AL"/>
        </w:rPr>
        <w:t xml:space="preserve">- </w:t>
      </w:r>
      <w:r w:rsidR="00B55EDA" w:rsidRPr="006230A9">
        <w:rPr>
          <w:b/>
          <w:color w:val="auto"/>
          <w:lang w:val="sq-AL"/>
        </w:rPr>
        <w:t>me fokus te rinjtë</w:t>
      </w:r>
      <w:r w:rsidR="00A90B80">
        <w:rPr>
          <w:b/>
          <w:color w:val="auto"/>
          <w:lang w:val="sq-AL"/>
        </w:rPr>
        <w:t>/te rejat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 xml:space="preserve">, të drejtat e njeriut, dhuna ndaj </w:t>
      </w:r>
      <w:r w:rsidR="000F2B9C" w:rsidRPr="006230A9">
        <w:rPr>
          <w:color w:val="auto"/>
          <w:lang w:val="sq-AL"/>
        </w:rPr>
        <w:t xml:space="preserve">te </w:t>
      </w:r>
      <w:r w:rsidR="00F00C28">
        <w:rPr>
          <w:color w:val="auto"/>
          <w:lang w:val="sq-AL"/>
        </w:rPr>
        <w:t>rinjve</w:t>
      </w:r>
      <w:r w:rsidR="000F2B9C" w:rsidRPr="006230A9">
        <w:rPr>
          <w:color w:val="auto"/>
          <w:lang w:val="sq-AL"/>
        </w:rPr>
        <w:t xml:space="preserve"> dhe te rejave</w:t>
      </w:r>
      <w:r w:rsidR="00B55EDA" w:rsidRPr="006230A9">
        <w:rPr>
          <w:color w:val="auto"/>
          <w:lang w:val="sq-AL"/>
        </w:rPr>
        <w:t xml:space="preserve"> </w:t>
      </w:r>
      <w:r w:rsidRPr="006230A9">
        <w:rPr>
          <w:color w:val="auto"/>
          <w:lang w:val="sq-AL"/>
        </w:rPr>
        <w:t>duke siguruar dëshmi të realizimit të tyre  të ngjashme në të kaluarën,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>Në rast të dështimit për të përmbushur ndonjërin nga kriteret specifike, aplikacioni do të konsiderohet i pa kompletuar dhe si i tillë nuk do të kualifikohet për mbështetje financiare.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Agjencia ruan të drejtën për të kërkuar informacione apo dokumente plotësuese sipas </w:t>
      </w:r>
      <w:proofErr w:type="spellStart"/>
      <w:r w:rsidRPr="006230A9">
        <w:rPr>
          <w:color w:val="auto"/>
          <w:lang w:val="sq-AL"/>
        </w:rPr>
        <w:t>diskrecionit</w:t>
      </w:r>
      <w:proofErr w:type="spellEnd"/>
      <w:r w:rsidRPr="006230A9">
        <w:rPr>
          <w:color w:val="auto"/>
          <w:lang w:val="sq-AL"/>
        </w:rPr>
        <w:t xml:space="preserve"> të saj për të sqaruar çfarëdo dileme të Komisionit Vlerësues.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proofErr w:type="spellStart"/>
      <w:r w:rsidRPr="006230A9">
        <w:rPr>
          <w:color w:val="auto"/>
          <w:lang w:val="sq-AL"/>
        </w:rPr>
        <w:lastRenderedPageBreak/>
        <w:t>Aplikanti</w:t>
      </w:r>
      <w:proofErr w:type="spellEnd"/>
      <w:r w:rsidRPr="006230A9">
        <w:rPr>
          <w:color w:val="auto"/>
          <w:lang w:val="sq-AL"/>
        </w:rPr>
        <w:t xml:space="preserve"> duhet të dëshmojë se i plotëson kriteret specifike duke dorëzuar dokumentet përkatëse sipas dispozitave të këtij neni dhe thirrjes publike.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Secili nga </w:t>
      </w:r>
      <w:proofErr w:type="spellStart"/>
      <w:r w:rsidRPr="006230A9">
        <w:rPr>
          <w:color w:val="auto"/>
          <w:lang w:val="sq-AL"/>
        </w:rPr>
        <w:t>aplikantët</w:t>
      </w:r>
      <w:proofErr w:type="spellEnd"/>
      <w:r w:rsidRPr="006230A9">
        <w:rPr>
          <w:color w:val="auto"/>
          <w:lang w:val="sq-AL"/>
        </w:rPr>
        <w:t xml:space="preserve"> do i nënshtrohet kontrollit administrativë, duke u bazuar në kriteret e përgjithshme dhe specifike.</w:t>
      </w:r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numPr>
          <w:ilvl w:val="0"/>
          <w:numId w:val="4"/>
        </w:numPr>
        <w:ind w:hanging="46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drejtat pronësore të produkteve dhe aktiviteteve te kësaj fushate </w:t>
      </w:r>
      <w:proofErr w:type="spellStart"/>
      <w:r w:rsidRPr="006230A9">
        <w:rPr>
          <w:color w:val="auto"/>
          <w:lang w:val="sq-AL"/>
        </w:rPr>
        <w:t>vetëdijesuese</w:t>
      </w:r>
      <w:proofErr w:type="spellEnd"/>
      <w:r w:rsidRPr="006230A9">
        <w:rPr>
          <w:color w:val="auto"/>
          <w:lang w:val="sq-AL"/>
        </w:rPr>
        <w:t xml:space="preserve"> , dhe gjitha dokumenteve që do të prodhohen i mbetën ABGJ-së  \ </w:t>
      </w:r>
    </w:p>
    <w:p w:rsidR="001927E0" w:rsidRPr="006230A9" w:rsidRDefault="00E74837">
      <w:pPr>
        <w:spacing w:after="0" w:line="240" w:lineRule="auto"/>
        <w:ind w:left="557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61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 xml:space="preserve">c. Kriteret e vlerësimit nga aspekti </w:t>
      </w:r>
      <w:proofErr w:type="spellStart"/>
      <w:r w:rsidRPr="006230A9">
        <w:rPr>
          <w:i/>
          <w:color w:val="auto"/>
          <w:lang w:val="sq-AL"/>
        </w:rPr>
        <w:t>përmbajtësor</w:t>
      </w:r>
      <w:proofErr w:type="spellEnd"/>
      <w:r w:rsidRPr="006230A9">
        <w:rPr>
          <w:i/>
          <w:color w:val="auto"/>
          <w:lang w:val="sq-AL"/>
        </w:rPr>
        <w:t xml:space="preserve"> </w:t>
      </w:r>
    </w:p>
    <w:p w:rsidR="001927E0" w:rsidRPr="006230A9" w:rsidRDefault="00E74837">
      <w:pPr>
        <w:spacing w:after="326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Projekt-propozimet do të vlerësohen sipas kritereve në vijim:  </w:t>
      </w:r>
    </w:p>
    <w:tbl>
      <w:tblPr>
        <w:tblStyle w:val="TableGrid"/>
        <w:tblW w:w="9018" w:type="dxa"/>
        <w:tblInd w:w="96" w:type="dxa"/>
        <w:tblCellMar>
          <w:top w:w="5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050"/>
        <w:gridCol w:w="4162"/>
        <w:gridCol w:w="2806"/>
      </w:tblGrid>
      <w:tr w:rsidR="006230A9" w:rsidRPr="006230A9">
        <w:trPr>
          <w:trHeight w:val="317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Kriteri 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Përshkrimi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b/>
                <w:color w:val="auto"/>
                <w:lang w:val="sq-AL"/>
              </w:rPr>
              <w:t xml:space="preserve">Vlerësimi me pikë </w:t>
            </w:r>
          </w:p>
        </w:tc>
      </w:tr>
      <w:tr w:rsidR="006230A9" w:rsidRPr="006230A9">
        <w:trPr>
          <w:trHeight w:val="1474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358" w:line="29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Përvoja profesionale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posedon </w:t>
            </w:r>
            <w:proofErr w:type="spellStart"/>
            <w:r w:rsidRPr="006230A9">
              <w:rPr>
                <w:color w:val="auto"/>
                <w:lang w:val="sq-AL"/>
              </w:rPr>
              <w:t>aplikuesi</w:t>
            </w:r>
            <w:proofErr w:type="spellEnd"/>
            <w:r w:rsidRPr="006230A9">
              <w:rPr>
                <w:color w:val="auto"/>
                <w:lang w:val="sq-AL"/>
              </w:rPr>
              <w:t xml:space="preserve"> përvojë të mjaftueshme dhe kapacitete profesionale për të kryer aktivitetet e planifikuara?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20 pikë </w:t>
            </w:r>
          </w:p>
        </w:tc>
      </w:tr>
      <w:tr w:rsidR="006230A9" w:rsidRPr="006230A9">
        <w:trPr>
          <w:trHeight w:val="27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Objektivat e qarta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ab/>
            </w:r>
            <w:r w:rsidRPr="006230A9">
              <w:rPr>
                <w:color w:val="auto"/>
                <w:lang w:val="sq-AL"/>
              </w:rPr>
              <w:t xml:space="preserve">A janë objektivat e projektit  të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</w:tr>
      <w:tr w:rsidR="006230A9" w:rsidRPr="006230A9">
        <w:trPr>
          <w:trHeight w:val="655"/>
        </w:trPr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1927E0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</w:p>
        </w:tc>
        <w:tc>
          <w:tcPr>
            <w:tcW w:w="4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firstLine="0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përcaktuara në mënyrë të qartë dhe realisht të arritshme? </w:t>
            </w:r>
          </w:p>
        </w:tc>
        <w:tc>
          <w:tcPr>
            <w:tcW w:w="28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pikë </w:t>
            </w:r>
          </w:p>
        </w:tc>
      </w:tr>
      <w:tr w:rsidR="006230A9" w:rsidRPr="006230A9">
        <w:trPr>
          <w:trHeight w:val="166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80" w:line="24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Aktivitetet </w:t>
            </w:r>
            <w:r w:rsidRPr="006230A9">
              <w:rPr>
                <w:color w:val="auto"/>
                <w:lang w:val="sq-AL"/>
              </w:rPr>
              <w:tab/>
              <w:t xml:space="preserve">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realizueshme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janë aktivitetet e projektit të qarta, të arsyeshme, të kuptueshme dhe të zbatueshme? A janë aktivitetet të ndërlidhura me realizimin e objektivave? A janë aktivitetet të ndërlidhura mes tyre?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25 pikë </w:t>
            </w:r>
          </w:p>
        </w:tc>
      </w:tr>
      <w:tr w:rsidR="006230A9" w:rsidRPr="006230A9">
        <w:trPr>
          <w:trHeight w:val="87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80" w:line="240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Rezultatet </w:t>
            </w:r>
            <w:r w:rsidRPr="006230A9">
              <w:rPr>
                <w:color w:val="auto"/>
                <w:lang w:val="sq-AL"/>
              </w:rPr>
              <w:tab/>
              <w:t xml:space="preserve">e </w:t>
            </w:r>
          </w:p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arritshme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361" w:right="1" w:hanging="361"/>
              <w:rPr>
                <w:color w:val="auto"/>
                <w:lang w:val="sq-AL"/>
              </w:rPr>
            </w:pPr>
            <w:r w:rsidRPr="006230A9">
              <w:rPr>
                <w:rFonts w:ascii="Segoe UI Symbol" w:eastAsia="Segoe UI Symbol" w:hAnsi="Segoe UI Symbol" w:cs="Segoe UI Symbol"/>
                <w:color w:val="auto"/>
                <w:lang w:val="sq-AL"/>
              </w:rPr>
              <w:t></w:t>
            </w:r>
            <w:r w:rsidRPr="006230A9">
              <w:rPr>
                <w:rFonts w:ascii="Arial" w:eastAsia="Arial" w:hAnsi="Arial" w:cs="Arial"/>
                <w:color w:val="auto"/>
                <w:lang w:val="sq-AL"/>
              </w:rPr>
              <w:t xml:space="preserve"> </w:t>
            </w:r>
            <w:r w:rsidRPr="006230A9">
              <w:rPr>
                <w:color w:val="auto"/>
                <w:lang w:val="sq-AL"/>
              </w:rPr>
              <w:t xml:space="preserve">A janë përcaktuar qartë rezultatet dhe a tregohet se si aktivitetet çojnë në arritjen e rezultateve?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pikë </w:t>
            </w:r>
          </w:p>
        </w:tc>
      </w:tr>
      <w:tr w:rsidR="006230A9" w:rsidRPr="006230A9">
        <w:trPr>
          <w:trHeight w:val="1670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lef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Kosto e arsyeshme </w:t>
            </w:r>
          </w:p>
        </w:tc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numPr>
                <w:ilvl w:val="0"/>
                <w:numId w:val="7"/>
              </w:numPr>
              <w:spacing w:after="50" w:line="251" w:lineRule="auto"/>
              <w:ind w:right="1" w:hanging="361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 janë kostot e aktiviteteve te propozuara reale në lidhje me rezultatet specifike dhe kohëzgjatjen e pritshme të projektit? </w:t>
            </w:r>
          </w:p>
          <w:p w:rsidR="001927E0" w:rsidRPr="006230A9" w:rsidRDefault="00E74837">
            <w:pPr>
              <w:numPr>
                <w:ilvl w:val="0"/>
                <w:numId w:val="7"/>
              </w:numPr>
              <w:spacing w:after="0" w:line="276" w:lineRule="auto"/>
              <w:ind w:right="1" w:hanging="361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A janë kostot e projektit në përputhje me aktivitetet e planifikuara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E0" w:rsidRPr="006230A9" w:rsidRDefault="00E74837">
            <w:pPr>
              <w:spacing w:after="0" w:line="276" w:lineRule="auto"/>
              <w:ind w:left="0" w:firstLine="0"/>
              <w:jc w:val="right"/>
              <w:rPr>
                <w:color w:val="auto"/>
                <w:lang w:val="sq-AL"/>
              </w:rPr>
            </w:pPr>
            <w:r w:rsidRPr="006230A9">
              <w:rPr>
                <w:color w:val="auto"/>
                <w:lang w:val="sq-AL"/>
              </w:rPr>
              <w:t xml:space="preserve">15 pikë </w:t>
            </w:r>
          </w:p>
        </w:tc>
      </w:tr>
    </w:tbl>
    <w:p w:rsidR="001927E0" w:rsidRPr="006230A9" w:rsidRDefault="00E74837">
      <w:pPr>
        <w:spacing w:after="355" w:line="240" w:lineRule="auto"/>
        <w:ind w:left="91" w:firstLine="0"/>
        <w:jc w:val="left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0" w:line="246" w:lineRule="auto"/>
        <w:rPr>
          <w:color w:val="auto"/>
          <w:lang w:val="sq-AL"/>
        </w:rPr>
      </w:pPr>
      <w:r w:rsidRPr="006230A9">
        <w:rPr>
          <w:rFonts w:ascii="Calibri" w:eastAsia="Calibri" w:hAnsi="Calibri" w:cs="Calibri"/>
          <w:b/>
          <w:color w:val="auto"/>
          <w:lang w:val="sq-AL"/>
        </w:rPr>
        <w:t>4.</w:t>
      </w:r>
      <w:r w:rsidRPr="006230A9">
        <w:rPr>
          <w:rFonts w:ascii="Arial" w:eastAsia="Arial" w:hAnsi="Arial" w:cs="Arial"/>
          <w:b/>
          <w:color w:val="auto"/>
          <w:lang w:val="sq-AL"/>
        </w:rPr>
        <w:t xml:space="preserve"> </w:t>
      </w:r>
      <w:r w:rsidRPr="006230A9">
        <w:rPr>
          <w:b/>
          <w:color w:val="auto"/>
          <w:lang w:val="sq-AL"/>
        </w:rPr>
        <w:t xml:space="preserve">Procesi i aplikimit </w:t>
      </w:r>
    </w:p>
    <w:p w:rsidR="001927E0" w:rsidRPr="006230A9" w:rsidRDefault="00E74837">
      <w:pPr>
        <w:spacing w:after="358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gjitha organizatat që plotësojnë kriteret për aplikim mund të aplikojnë duke plotësuar formularët në vijim: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9</w:t>
      </w:r>
      <w:r w:rsidRPr="006230A9">
        <w:rPr>
          <w:color w:val="auto"/>
          <w:lang w:val="sq-AL"/>
        </w:rPr>
        <w:t xml:space="preserve">  -  Formulari i aplikacionit për projekt/program (e detyrueshme) 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lastRenderedPageBreak/>
        <w:t xml:space="preserve">Formulari 10 </w:t>
      </w:r>
      <w:r w:rsidRPr="006230A9">
        <w:rPr>
          <w:color w:val="auto"/>
          <w:lang w:val="sq-AL"/>
        </w:rPr>
        <w:t xml:space="preserve">- Formulari i buxhetit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11</w:t>
      </w:r>
      <w:r w:rsidRPr="006230A9">
        <w:rPr>
          <w:color w:val="auto"/>
          <w:lang w:val="sq-AL"/>
        </w:rPr>
        <w:t xml:space="preserve"> - Formulari  i deklaratës për të financimit të dyfishtë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12</w:t>
      </w:r>
      <w:r w:rsidRPr="006230A9">
        <w:rPr>
          <w:color w:val="auto"/>
          <w:lang w:val="sq-AL"/>
        </w:rPr>
        <w:t xml:space="preserve"> - Formular i deklaratës se partneritetit (nëse aplikohet)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13</w:t>
      </w:r>
      <w:r w:rsidRPr="006230A9">
        <w:rPr>
          <w:color w:val="auto"/>
          <w:lang w:val="sq-AL"/>
        </w:rPr>
        <w:t xml:space="preserve"> - Formulari i deklaratës se projekteve të financuara (e detyrueshme) </w:t>
      </w:r>
    </w:p>
    <w:p w:rsidR="001927E0" w:rsidRPr="006230A9" w:rsidRDefault="00E74837">
      <w:pPr>
        <w:numPr>
          <w:ilvl w:val="0"/>
          <w:numId w:val="5"/>
        </w:numPr>
        <w:ind w:hanging="739"/>
        <w:rPr>
          <w:color w:val="auto"/>
          <w:lang w:val="sq-AL"/>
        </w:rPr>
      </w:pPr>
      <w:r w:rsidRPr="006230A9">
        <w:rPr>
          <w:i/>
          <w:color w:val="auto"/>
          <w:lang w:val="sq-AL"/>
        </w:rPr>
        <w:t>Formulari 14</w:t>
      </w:r>
      <w:r w:rsidRPr="006230A9">
        <w:rPr>
          <w:color w:val="auto"/>
          <w:lang w:val="sq-AL"/>
        </w:rPr>
        <w:t xml:space="preserve"> - Deklaratë mbi </w:t>
      </w:r>
      <w:proofErr w:type="spellStart"/>
      <w:r w:rsidRPr="006230A9">
        <w:rPr>
          <w:color w:val="auto"/>
          <w:lang w:val="sq-AL"/>
        </w:rPr>
        <w:t>aktivitetete</w:t>
      </w:r>
      <w:proofErr w:type="spellEnd"/>
      <w:r w:rsidRPr="006230A9">
        <w:rPr>
          <w:color w:val="auto"/>
          <w:lang w:val="sq-AL"/>
        </w:rPr>
        <w:t xml:space="preserve"> përshkruara të programit /projektit  (e detyrueshme) </w:t>
      </w:r>
    </w:p>
    <w:p w:rsidR="006002DA" w:rsidRDefault="006002DA" w:rsidP="005D41B5">
      <w:pPr>
        <w:spacing w:after="0" w:line="240" w:lineRule="auto"/>
        <w:ind w:left="91" w:firstLine="0"/>
        <w:jc w:val="left"/>
        <w:rPr>
          <w:color w:val="auto"/>
          <w:lang w:val="sq-AL"/>
        </w:rPr>
      </w:pPr>
    </w:p>
    <w:p w:rsidR="006002DA" w:rsidRPr="006230A9" w:rsidRDefault="006002DA" w:rsidP="005D41B5">
      <w:pPr>
        <w:spacing w:after="0" w:line="240" w:lineRule="auto"/>
        <w:ind w:left="91" w:firstLine="0"/>
        <w:jc w:val="left"/>
        <w:rPr>
          <w:color w:val="auto"/>
          <w:lang w:val="sq-AL"/>
        </w:rPr>
      </w:pP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Dokumentacioni  kualifikues </w:t>
      </w:r>
    </w:p>
    <w:p w:rsidR="001927E0" w:rsidRPr="006230A9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Certifikata e regjistrimit të OJQ-së  </w:t>
      </w:r>
    </w:p>
    <w:p w:rsidR="001927E0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Certifikatën e numrit fiskal  </w:t>
      </w:r>
    </w:p>
    <w:p w:rsidR="00F00C28" w:rsidRPr="006230A9" w:rsidRDefault="00F00C28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>
        <w:rPr>
          <w:color w:val="auto"/>
          <w:lang w:val="sq-AL"/>
        </w:rPr>
        <w:t xml:space="preserve">Kopjen e letërnjoftimit të personat qe organizata është e regjistruar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Vërtetim mbi kryerjen e të gjitha detyrimeve tatimore, i cili duhet të dorëzohet komisionit vlerësues para publikimit të rezultateve përfundimtare (pas publikimit të rezultateve preliminare të përfituesve)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>Të ketë dorëzuar projekt propozimin të plotësuar në formatin e aplikacionit sipas kërkesave të thirrjes publike (</w:t>
      </w:r>
      <w:proofErr w:type="spellStart"/>
      <w:r w:rsidRPr="006230A9">
        <w:rPr>
          <w:color w:val="auto"/>
          <w:lang w:val="sq-AL"/>
        </w:rPr>
        <w:t>obligative</w:t>
      </w:r>
      <w:proofErr w:type="spellEnd"/>
      <w:r w:rsidRPr="006230A9">
        <w:rPr>
          <w:color w:val="auto"/>
          <w:lang w:val="sq-AL"/>
        </w:rPr>
        <w:t xml:space="preserve">) </w:t>
      </w:r>
    </w:p>
    <w:p w:rsidR="001927E0" w:rsidRPr="006230A9" w:rsidRDefault="00E74837">
      <w:pPr>
        <w:numPr>
          <w:ilvl w:val="1"/>
          <w:numId w:val="6"/>
        </w:numPr>
        <w:spacing w:after="320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ketë dorëzuar propozimin e buxhetit në formatin sipas kërkesave të thirrjes dhe të plotësuar në tërësi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Deklaratë e nënshkruar se për të njëjtin projekt nuk është pranuar financim i dyfishtë nga burimet tjera  </w:t>
      </w:r>
    </w:p>
    <w:p w:rsidR="001927E0" w:rsidRPr="006230A9" w:rsidRDefault="00E748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Deklaratë se OJQ ka përgatitur dhe dorëzuar pasqyrat financiare vjetore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Një deklaratë me të cilën tregojnë se i kanë përmbushur detyrimet nga mbështetjet financiare publike të mëhershme  </w:t>
      </w:r>
    </w:p>
    <w:p w:rsidR="001927E0" w:rsidRPr="006230A9" w:rsidRDefault="00E748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dorëzoj deklaratat e partneritetit në rastet kur propozohet implementimi i projekteve në partneritet;  </w:t>
      </w:r>
    </w:p>
    <w:p w:rsidR="001927E0" w:rsidRPr="006230A9" w:rsidRDefault="00E74837">
      <w:pPr>
        <w:numPr>
          <w:ilvl w:val="1"/>
          <w:numId w:val="6"/>
        </w:numPr>
        <w:spacing w:after="319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dorëzoj </w:t>
      </w:r>
      <w:proofErr w:type="spellStart"/>
      <w:r w:rsidRPr="006230A9">
        <w:rPr>
          <w:color w:val="auto"/>
          <w:lang w:val="sq-AL"/>
        </w:rPr>
        <w:t>parakontratat</w:t>
      </w:r>
      <w:proofErr w:type="spellEnd"/>
      <w:r w:rsidRPr="006230A9">
        <w:rPr>
          <w:color w:val="auto"/>
          <w:lang w:val="sq-AL"/>
        </w:rPr>
        <w:t xml:space="preserve"> së bashku me CV-</w:t>
      </w:r>
      <w:r w:rsidR="00F90926" w:rsidRPr="006230A9">
        <w:rPr>
          <w:color w:val="auto"/>
          <w:lang w:val="sq-AL"/>
        </w:rPr>
        <w:t>të e</w:t>
      </w:r>
      <w:r w:rsidRPr="006230A9">
        <w:rPr>
          <w:color w:val="auto"/>
          <w:lang w:val="sq-AL"/>
        </w:rPr>
        <w:t xml:space="preserve"> menaxherit të projekti</w:t>
      </w:r>
      <w:r w:rsidR="007A703A" w:rsidRPr="006230A9">
        <w:rPr>
          <w:color w:val="auto"/>
          <w:lang w:val="sq-AL"/>
        </w:rPr>
        <w:t xml:space="preserve">t dhe stafit </w:t>
      </w:r>
      <w:proofErr w:type="spellStart"/>
      <w:r w:rsidR="007A703A" w:rsidRPr="006230A9">
        <w:rPr>
          <w:color w:val="auto"/>
          <w:lang w:val="sq-AL"/>
        </w:rPr>
        <w:t>implementues</w:t>
      </w:r>
      <w:proofErr w:type="spellEnd"/>
      <w:r w:rsidR="007A703A" w:rsidRPr="006230A9">
        <w:rPr>
          <w:color w:val="auto"/>
          <w:lang w:val="sq-AL"/>
        </w:rPr>
        <w:t>/</w:t>
      </w:r>
      <w:proofErr w:type="spellStart"/>
      <w:r w:rsidR="007A703A" w:rsidRPr="006230A9">
        <w:rPr>
          <w:color w:val="auto"/>
          <w:lang w:val="sq-AL"/>
        </w:rPr>
        <w:t>akterë</w:t>
      </w:r>
      <w:r w:rsidRPr="006230A9">
        <w:rPr>
          <w:color w:val="auto"/>
          <w:lang w:val="sq-AL"/>
        </w:rPr>
        <w:t>t</w:t>
      </w:r>
      <w:proofErr w:type="spellEnd"/>
      <w:r w:rsidRPr="006230A9">
        <w:rPr>
          <w:color w:val="auto"/>
          <w:lang w:val="sq-AL"/>
        </w:rPr>
        <w:t xml:space="preserve"> e angazhuar dhe </w:t>
      </w:r>
      <w:proofErr w:type="spellStart"/>
      <w:r w:rsidRPr="006230A9">
        <w:rPr>
          <w:color w:val="auto"/>
          <w:lang w:val="sq-AL"/>
        </w:rPr>
        <w:t>kontraktorëve</w:t>
      </w:r>
      <w:proofErr w:type="spellEnd"/>
      <w:r w:rsidRPr="006230A9">
        <w:rPr>
          <w:color w:val="auto"/>
          <w:lang w:val="sq-AL"/>
        </w:rPr>
        <w:t xml:space="preserve">. </w:t>
      </w:r>
    </w:p>
    <w:p w:rsidR="001927E0" w:rsidRPr="006230A9" w:rsidRDefault="00E74837" w:rsidP="007D2937">
      <w:pPr>
        <w:numPr>
          <w:ilvl w:val="1"/>
          <w:numId w:val="6"/>
        </w:numPr>
        <w:spacing w:after="317"/>
        <w:ind w:hanging="331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Të dërgojë dëshmi/referenca të implementimit të projekteve/programeve të ngjashme.  </w:t>
      </w: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Dorëzimi i aplikacioneve </w:t>
      </w:r>
    </w:p>
    <w:p w:rsidR="001927E0" w:rsidRPr="006230A9" w:rsidRDefault="00E74837">
      <w:pPr>
        <w:spacing w:after="360"/>
        <w:rPr>
          <w:color w:val="auto"/>
          <w:lang w:val="sq-AL"/>
        </w:rPr>
      </w:pPr>
      <w:r w:rsidRPr="006230A9">
        <w:rPr>
          <w:color w:val="auto"/>
          <w:lang w:val="sq-AL"/>
        </w:rPr>
        <w:lastRenderedPageBreak/>
        <w:t xml:space="preserve">OJQ-të duhet t’i dorëzojnë formularët e plotësuar për aplikim: </w:t>
      </w:r>
    </w:p>
    <w:p w:rsidR="00E50D33" w:rsidRPr="006230A9" w:rsidRDefault="00E74837" w:rsidP="00C120AF">
      <w:pPr>
        <w:spacing w:after="358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Projekt propozimet do </w:t>
      </w:r>
      <w:r w:rsidR="007A703A" w:rsidRPr="006230A9">
        <w:rPr>
          <w:color w:val="auto"/>
          <w:lang w:val="sq-AL"/>
        </w:rPr>
        <w:t>të</w:t>
      </w:r>
      <w:r w:rsidRPr="006230A9">
        <w:rPr>
          <w:color w:val="auto"/>
          <w:lang w:val="sq-AL"/>
        </w:rPr>
        <w:t xml:space="preserve"> dorëzohen </w:t>
      </w:r>
      <w:r w:rsidR="00E50D33" w:rsidRPr="006230A9">
        <w:rPr>
          <w:color w:val="auto"/>
          <w:lang w:val="sq-AL"/>
        </w:rPr>
        <w:t xml:space="preserve">ne </w:t>
      </w:r>
      <w:r w:rsidR="007A703A" w:rsidRPr="006230A9">
        <w:rPr>
          <w:color w:val="auto"/>
          <w:lang w:val="sq-AL"/>
        </w:rPr>
        <w:t>mënyrë</w:t>
      </w:r>
      <w:r w:rsidR="00A90B80">
        <w:rPr>
          <w:color w:val="auto"/>
          <w:lang w:val="sq-AL"/>
        </w:rPr>
        <w:t xml:space="preserve"> fizike te </w:t>
      </w:r>
      <w:r w:rsidR="00991596" w:rsidRPr="006230A9">
        <w:rPr>
          <w:color w:val="auto"/>
          <w:lang w:val="sq-AL"/>
        </w:rPr>
        <w:t xml:space="preserve">: </w:t>
      </w:r>
      <w:r w:rsidR="00E50D33" w:rsidRPr="006230A9">
        <w:rPr>
          <w:color w:val="auto"/>
          <w:lang w:val="sq-AL"/>
        </w:rPr>
        <w:t xml:space="preserve"> </w:t>
      </w:r>
      <w:hyperlink r:id="rId10" w:history="1">
        <w:r w:rsidR="00991596" w:rsidRPr="006230A9">
          <w:rPr>
            <w:rStyle w:val="Hyperlink"/>
            <w:color w:val="auto"/>
            <w:lang w:val="sq-AL"/>
          </w:rPr>
          <w:t>Fitore.j.Gashi@rks-gov.net</w:t>
        </w:r>
      </w:hyperlink>
      <w:r w:rsidR="00E50D33" w:rsidRPr="006230A9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Ndërtesa e Qeverisë. Sheshi “Skënderbe” 10000 Prishtinë, Republika e Kosovës. Kati VII, Zyra 711</w:t>
      </w:r>
      <w:r w:rsidR="00C120AF" w:rsidRPr="00C120AF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nga data 14</w:t>
      </w:r>
      <w:r w:rsidR="00C120AF" w:rsidRPr="006230A9">
        <w:rPr>
          <w:color w:val="auto"/>
          <w:lang w:val="sq-AL"/>
        </w:rPr>
        <w:t xml:space="preserve">/05/2026 deri me </w:t>
      </w:r>
      <w:proofErr w:type="spellStart"/>
      <w:r w:rsidR="00C120AF" w:rsidRPr="006230A9">
        <w:rPr>
          <w:color w:val="auto"/>
          <w:lang w:val="sq-AL"/>
        </w:rPr>
        <w:t>dt</w:t>
      </w:r>
      <w:proofErr w:type="spellEnd"/>
      <w:r w:rsidR="00C120AF" w:rsidRPr="006230A9">
        <w:rPr>
          <w:color w:val="auto"/>
          <w:lang w:val="sq-AL"/>
        </w:rPr>
        <w:t xml:space="preserve"> </w:t>
      </w:r>
      <w:r w:rsidR="00C120AF">
        <w:rPr>
          <w:color w:val="auto"/>
          <w:lang w:val="sq-AL"/>
        </w:rPr>
        <w:t>04</w:t>
      </w:r>
      <w:r w:rsidR="00C120AF" w:rsidRPr="006230A9">
        <w:rPr>
          <w:color w:val="auto"/>
          <w:lang w:val="sq-AL"/>
        </w:rPr>
        <w:t>/06/2026 ne ora 15:30</w:t>
      </w:r>
    </w:p>
    <w:p w:rsidR="001927E0" w:rsidRPr="006230A9" w:rsidRDefault="00E74837">
      <w:pPr>
        <w:spacing w:after="355"/>
        <w:rPr>
          <w:color w:val="auto"/>
          <w:lang w:val="sq-AL"/>
        </w:rPr>
      </w:pPr>
      <w:r w:rsidRPr="006230A9">
        <w:rPr>
          <w:color w:val="auto"/>
          <w:lang w:val="sq-AL"/>
        </w:rPr>
        <w:t>Propozimet duhet të dorëzohen vetëm në formularët e paraparë, të cilat janë në dispoz</w:t>
      </w:r>
      <w:r w:rsidR="002E076C" w:rsidRPr="006230A9">
        <w:rPr>
          <w:color w:val="auto"/>
          <w:lang w:val="sq-AL"/>
        </w:rPr>
        <w:t xml:space="preserve">icion në faqen e internetit: </w:t>
      </w:r>
      <w:hyperlink r:id="rId11" w:history="1">
        <w:r w:rsidR="00C120AF" w:rsidRPr="006230A9">
          <w:rPr>
            <w:rStyle w:val="Hyperlink"/>
            <w:color w:val="auto"/>
            <w:lang w:val="sq-AL"/>
          </w:rPr>
          <w:t>https://kryeministri.rks-gov.net/</w:t>
        </w:r>
      </w:hyperlink>
    </w:p>
    <w:p w:rsidR="001927E0" w:rsidRPr="006230A9" w:rsidRDefault="00E74837">
      <w:pPr>
        <w:spacing w:after="0"/>
        <w:rPr>
          <w:color w:val="auto"/>
          <w:lang w:val="sq-AL"/>
        </w:rPr>
      </w:pPr>
      <w:r w:rsidRPr="006230A9">
        <w:rPr>
          <w:color w:val="auto"/>
          <w:lang w:val="sq-AL"/>
        </w:rPr>
        <w:t>Të gjitha çështjet që lidhen me ftesën publike mund të sqarohen në mënyrë elektronike, duke dërguar e-</w:t>
      </w:r>
      <w:proofErr w:type="spellStart"/>
      <w:r w:rsidRPr="006230A9">
        <w:rPr>
          <w:color w:val="auto"/>
          <w:lang w:val="sq-AL"/>
        </w:rPr>
        <w:t>mail</w:t>
      </w:r>
      <w:proofErr w:type="spellEnd"/>
      <w:r w:rsidRPr="006230A9">
        <w:rPr>
          <w:color w:val="auto"/>
          <w:lang w:val="sq-AL"/>
        </w:rPr>
        <w:t xml:space="preserve"> në adresën:  </w:t>
      </w:r>
      <w:hyperlink r:id="rId12" w:history="1">
        <w:r w:rsidR="00991596" w:rsidRPr="006230A9">
          <w:rPr>
            <w:rStyle w:val="Hyperlink"/>
            <w:color w:val="auto"/>
            <w:lang w:val="sq-AL"/>
          </w:rPr>
          <w:t>Saranda.Zogaj@rks-gov.net</w:t>
        </w:r>
      </w:hyperlink>
      <w:r w:rsidR="00DB090E"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53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Do të konsiderohen për mbështetje financiare vetëm projektet që janë pranuar brenda afatit të paraparë me këtë thirrje publike, dhe të cilat i përmbushin plotësisht kushtet e përcaktuara të thirrjes publike. </w:t>
      </w:r>
    </w:p>
    <w:p w:rsidR="001927E0" w:rsidRPr="006230A9" w:rsidRDefault="00E74837">
      <w:pPr>
        <w:numPr>
          <w:ilvl w:val="0"/>
          <w:numId w:val="6"/>
        </w:numPr>
        <w:spacing w:after="350" w:line="246" w:lineRule="auto"/>
        <w:ind w:hanging="739"/>
        <w:rPr>
          <w:color w:val="auto"/>
          <w:lang w:val="sq-AL"/>
        </w:rPr>
      </w:pPr>
      <w:r w:rsidRPr="006230A9">
        <w:rPr>
          <w:b/>
          <w:color w:val="auto"/>
          <w:lang w:val="sq-AL"/>
        </w:rPr>
        <w:t xml:space="preserve">Afati i fundit për aplikim </w:t>
      </w:r>
    </w:p>
    <w:p w:rsidR="001927E0" w:rsidRPr="006230A9" w:rsidRDefault="00E74837">
      <w:pPr>
        <w:spacing w:after="361"/>
        <w:rPr>
          <w:color w:val="auto"/>
          <w:lang w:val="sq-AL"/>
        </w:rPr>
      </w:pPr>
      <w:r w:rsidRPr="006230A9">
        <w:rPr>
          <w:color w:val="auto"/>
          <w:lang w:val="sq-AL"/>
        </w:rPr>
        <w:t>• Afati për aplikim është pesëmbëdhjetë (15) ditë pas datës së publi</w:t>
      </w:r>
      <w:r w:rsidR="007A703A" w:rsidRPr="006230A9">
        <w:rPr>
          <w:color w:val="auto"/>
          <w:lang w:val="sq-AL"/>
        </w:rPr>
        <w:t>kimit të ftesës për propozime (</w:t>
      </w:r>
      <w:r w:rsidR="00A90B80">
        <w:rPr>
          <w:b/>
          <w:color w:val="auto"/>
          <w:lang w:val="sq-AL"/>
        </w:rPr>
        <w:t>14</w:t>
      </w:r>
      <w:r w:rsidR="00991596" w:rsidRPr="006230A9">
        <w:rPr>
          <w:b/>
          <w:color w:val="auto"/>
          <w:lang w:val="sq-AL"/>
        </w:rPr>
        <w:t>/05</w:t>
      </w:r>
      <w:r w:rsidR="00681A86" w:rsidRPr="006230A9">
        <w:rPr>
          <w:b/>
          <w:color w:val="auto"/>
          <w:lang w:val="sq-AL"/>
        </w:rPr>
        <w:t>/2026</w:t>
      </w:r>
      <w:r w:rsidR="00A90B80">
        <w:rPr>
          <w:b/>
          <w:color w:val="auto"/>
          <w:lang w:val="sq-AL"/>
        </w:rPr>
        <w:t>- 04</w:t>
      </w:r>
      <w:r w:rsidR="00991596" w:rsidRPr="006230A9">
        <w:rPr>
          <w:b/>
          <w:color w:val="auto"/>
          <w:lang w:val="sq-AL"/>
        </w:rPr>
        <w:t>/06</w:t>
      </w:r>
      <w:r w:rsidR="00681A86" w:rsidRPr="006230A9">
        <w:rPr>
          <w:b/>
          <w:color w:val="auto"/>
          <w:lang w:val="sq-AL"/>
        </w:rPr>
        <w:t>/2026</w:t>
      </w:r>
      <w:r w:rsidRPr="006230A9">
        <w:rPr>
          <w:b/>
          <w:color w:val="auto"/>
          <w:lang w:val="sq-AL"/>
        </w:rPr>
        <w:t>) ora 15:30</w:t>
      </w:r>
      <w:r w:rsidRPr="006230A9">
        <w:rPr>
          <w:color w:val="auto"/>
          <w:lang w:val="sq-AL"/>
        </w:rPr>
        <w:t xml:space="preserve"> </w:t>
      </w:r>
    </w:p>
    <w:p w:rsidR="001927E0" w:rsidRPr="006230A9" w:rsidRDefault="00E74837">
      <w:pPr>
        <w:spacing w:after="360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Aplikacionet e dorëzuara pas mbylljes së afatit nuk do të merren parasysh. </w:t>
      </w:r>
    </w:p>
    <w:p w:rsidR="001927E0" w:rsidRPr="006230A9" w:rsidRDefault="00E74837">
      <w:pPr>
        <w:spacing w:after="0"/>
        <w:ind w:right="284"/>
        <w:rPr>
          <w:color w:val="auto"/>
          <w:lang w:val="sq-AL"/>
        </w:rPr>
      </w:pPr>
      <w:r w:rsidRPr="006230A9">
        <w:rPr>
          <w:color w:val="auto"/>
          <w:lang w:val="sq-AL"/>
        </w:rPr>
        <w:t xml:space="preserve">Procesi i pranimit, hapjes dhe shqyrtimit të aplikacioneve, vlerësimit të aplikacioneve, kontraktimi, dhënia e fondeve, koha dhe mënyra e parashtrimit të ankesave, trajtimi i dokumenteve dhe kalendari tregues i zbatimit të ftesës publike janë të detajuara në Udhëzuesin për Aplikim. </w:t>
      </w:r>
    </w:p>
    <w:sectPr w:rsidR="001927E0" w:rsidRPr="006230A9">
      <w:footerReference w:type="even" r:id="rId13"/>
      <w:footerReference w:type="default" r:id="rId14"/>
      <w:footerReference w:type="first" r:id="rId15"/>
      <w:pgSz w:w="11906" w:h="16838"/>
      <w:pgMar w:top="540" w:right="588" w:bottom="2076" w:left="1349" w:header="72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D9" w:rsidRDefault="005226D9">
      <w:pPr>
        <w:spacing w:after="0" w:line="240" w:lineRule="auto"/>
      </w:pPr>
      <w:r>
        <w:separator/>
      </w:r>
    </w:p>
  </w:endnote>
  <w:endnote w:type="continuationSeparator" w:id="0">
    <w:p w:rsidR="005226D9" w:rsidRDefault="0052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51CC" w:rsidRPr="00BA51CC">
      <w:rPr>
        <w:rFonts w:ascii="Calibri" w:eastAsia="Calibri" w:hAnsi="Calibri" w:cs="Calibri"/>
        <w:noProof/>
      </w:rPr>
      <w:t>7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7E0" w:rsidRDefault="00E74837">
    <w:pPr>
      <w:spacing w:after="3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1927E0" w:rsidRDefault="00E74837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D9" w:rsidRDefault="005226D9">
      <w:pPr>
        <w:spacing w:after="0" w:line="240" w:lineRule="auto"/>
      </w:pPr>
      <w:r>
        <w:separator/>
      </w:r>
    </w:p>
  </w:footnote>
  <w:footnote w:type="continuationSeparator" w:id="0">
    <w:p w:rsidR="005226D9" w:rsidRDefault="00522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5DA1"/>
    <w:multiLevelType w:val="hybridMultilevel"/>
    <w:tmpl w:val="5DC4BEA2"/>
    <w:lvl w:ilvl="0" w:tplc="E54414C6">
      <w:start w:val="1"/>
      <w:numFmt w:val="decimal"/>
      <w:lvlText w:val="%1."/>
      <w:lvlJc w:val="left"/>
      <w:pPr>
        <w:ind w:left="43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4B416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6C4A">
      <w:start w:val="1"/>
      <w:numFmt w:val="bullet"/>
      <w:lvlText w:val="▪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AAE22">
      <w:start w:val="1"/>
      <w:numFmt w:val="bullet"/>
      <w:lvlText w:val="•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020182">
      <w:start w:val="1"/>
      <w:numFmt w:val="bullet"/>
      <w:lvlText w:val="o"/>
      <w:lvlJc w:val="left"/>
      <w:pPr>
        <w:ind w:left="2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27AC8">
      <w:start w:val="1"/>
      <w:numFmt w:val="bullet"/>
      <w:lvlText w:val="▪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FE92CA">
      <w:start w:val="1"/>
      <w:numFmt w:val="bullet"/>
      <w:lvlText w:val="•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D453BA">
      <w:start w:val="1"/>
      <w:numFmt w:val="bullet"/>
      <w:lvlText w:val="o"/>
      <w:lvlJc w:val="left"/>
      <w:pPr>
        <w:ind w:left="5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A314A">
      <w:start w:val="1"/>
      <w:numFmt w:val="bullet"/>
      <w:lvlText w:val="▪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6157E"/>
    <w:multiLevelType w:val="hybridMultilevel"/>
    <w:tmpl w:val="913880C6"/>
    <w:lvl w:ilvl="0" w:tplc="9B4C299C">
      <w:start w:val="2"/>
      <w:numFmt w:val="decimal"/>
      <w:lvlText w:val="%1."/>
      <w:lvlJc w:val="left"/>
      <w:pPr>
        <w:ind w:left="8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5ADC1E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C17A2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A1780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CEF82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C24B0A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C850A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D0097C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0F4E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C1986"/>
    <w:multiLevelType w:val="hybridMultilevel"/>
    <w:tmpl w:val="CDF48340"/>
    <w:lvl w:ilvl="0" w:tplc="AACAACE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31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014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259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6A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486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22F8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C31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E7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F7DDC"/>
    <w:multiLevelType w:val="multilevel"/>
    <w:tmpl w:val="70084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64701"/>
    <w:multiLevelType w:val="hybridMultilevel"/>
    <w:tmpl w:val="5198BA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86D96"/>
    <w:multiLevelType w:val="hybridMultilevel"/>
    <w:tmpl w:val="A43E8200"/>
    <w:lvl w:ilvl="0" w:tplc="AC801F7C">
      <w:start w:val="2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64F82">
      <w:start w:val="1"/>
      <w:numFmt w:val="lowerLetter"/>
      <w:lvlText w:val="%2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81FFA">
      <w:start w:val="1"/>
      <w:numFmt w:val="lowerRoman"/>
      <w:lvlText w:val="%3"/>
      <w:lvlJc w:val="left"/>
      <w:pPr>
        <w:ind w:left="1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0A5704">
      <w:start w:val="1"/>
      <w:numFmt w:val="decimal"/>
      <w:lvlText w:val="%4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427A8">
      <w:start w:val="1"/>
      <w:numFmt w:val="lowerLetter"/>
      <w:lvlText w:val="%5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32A5F8">
      <w:start w:val="1"/>
      <w:numFmt w:val="lowerRoman"/>
      <w:lvlText w:val="%6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620D0">
      <w:start w:val="1"/>
      <w:numFmt w:val="decimal"/>
      <w:lvlText w:val="%7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F88BAE">
      <w:start w:val="1"/>
      <w:numFmt w:val="lowerLetter"/>
      <w:lvlText w:val="%8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4B1B2">
      <w:start w:val="1"/>
      <w:numFmt w:val="lowerRoman"/>
      <w:lvlText w:val="%9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781DB9"/>
    <w:multiLevelType w:val="hybridMultilevel"/>
    <w:tmpl w:val="E43EC79A"/>
    <w:lvl w:ilvl="0" w:tplc="E0A25502">
      <w:start w:val="1"/>
      <w:numFmt w:val="decimal"/>
      <w:lvlText w:val="%1."/>
      <w:lvlJc w:val="left"/>
      <w:pPr>
        <w:ind w:left="81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0C7B4">
      <w:start w:val="1"/>
      <w:numFmt w:val="lowerLetter"/>
      <w:lvlText w:val="%2"/>
      <w:lvlJc w:val="left"/>
      <w:pPr>
        <w:ind w:left="11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2459B8">
      <w:start w:val="1"/>
      <w:numFmt w:val="lowerRoman"/>
      <w:lvlText w:val="%3"/>
      <w:lvlJc w:val="left"/>
      <w:pPr>
        <w:ind w:left="18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CACEF4">
      <w:start w:val="1"/>
      <w:numFmt w:val="decimal"/>
      <w:lvlText w:val="%4"/>
      <w:lvlJc w:val="left"/>
      <w:pPr>
        <w:ind w:left="25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F6C010">
      <w:start w:val="1"/>
      <w:numFmt w:val="lowerLetter"/>
      <w:lvlText w:val="%5"/>
      <w:lvlJc w:val="left"/>
      <w:pPr>
        <w:ind w:left="331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6B5CE">
      <w:start w:val="1"/>
      <w:numFmt w:val="lowerRoman"/>
      <w:lvlText w:val="%6"/>
      <w:lvlJc w:val="left"/>
      <w:pPr>
        <w:ind w:left="403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C5ED8">
      <w:start w:val="1"/>
      <w:numFmt w:val="decimal"/>
      <w:lvlText w:val="%7"/>
      <w:lvlJc w:val="left"/>
      <w:pPr>
        <w:ind w:left="475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0B3F4">
      <w:start w:val="1"/>
      <w:numFmt w:val="lowerLetter"/>
      <w:lvlText w:val="%8"/>
      <w:lvlJc w:val="left"/>
      <w:pPr>
        <w:ind w:left="547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424B9A">
      <w:start w:val="1"/>
      <w:numFmt w:val="lowerRoman"/>
      <w:lvlText w:val="%9"/>
      <w:lvlJc w:val="left"/>
      <w:pPr>
        <w:ind w:left="6196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897BED"/>
    <w:multiLevelType w:val="hybridMultilevel"/>
    <w:tmpl w:val="09264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6380A"/>
    <w:multiLevelType w:val="hybridMultilevel"/>
    <w:tmpl w:val="2DDE0A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05E3D"/>
    <w:multiLevelType w:val="hybridMultilevel"/>
    <w:tmpl w:val="342A8D86"/>
    <w:lvl w:ilvl="0" w:tplc="EC5065A4">
      <w:start w:val="5"/>
      <w:numFmt w:val="decimal"/>
      <w:lvlText w:val="%1."/>
      <w:lvlJc w:val="left"/>
      <w:pPr>
        <w:ind w:left="81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68D3A">
      <w:start w:val="1"/>
      <w:numFmt w:val="decimal"/>
      <w:lvlText w:val="%2."/>
      <w:lvlJc w:val="left"/>
      <w:pPr>
        <w:ind w:left="7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88C72">
      <w:start w:val="1"/>
      <w:numFmt w:val="lowerRoman"/>
      <w:lvlText w:val="%3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2F608">
      <w:start w:val="1"/>
      <w:numFmt w:val="decimal"/>
      <w:lvlText w:val="%4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4E9CDC">
      <w:start w:val="1"/>
      <w:numFmt w:val="lowerLetter"/>
      <w:lvlText w:val="%5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0CA4C">
      <w:start w:val="1"/>
      <w:numFmt w:val="lowerRoman"/>
      <w:lvlText w:val="%6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DD80">
      <w:start w:val="1"/>
      <w:numFmt w:val="decimal"/>
      <w:lvlText w:val="%7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C6CFE">
      <w:start w:val="1"/>
      <w:numFmt w:val="lowerLetter"/>
      <w:lvlText w:val="%8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46AEC">
      <w:start w:val="1"/>
      <w:numFmt w:val="lowerRoman"/>
      <w:lvlText w:val="%9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4304D"/>
    <w:multiLevelType w:val="hybridMultilevel"/>
    <w:tmpl w:val="64AEFB8E"/>
    <w:lvl w:ilvl="0" w:tplc="17EE6CF4">
      <w:start w:val="1"/>
      <w:numFmt w:val="upperRoman"/>
      <w:lvlText w:val="%1."/>
      <w:lvlJc w:val="left"/>
      <w:pPr>
        <w:ind w:left="7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8ED06C">
      <w:start w:val="1"/>
      <w:numFmt w:val="decimal"/>
      <w:lvlText w:val="%2."/>
      <w:lvlJc w:val="left"/>
      <w:pPr>
        <w:ind w:left="10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65AD8">
      <w:start w:val="1"/>
      <w:numFmt w:val="lowerRoman"/>
      <w:lvlText w:val="%3"/>
      <w:lvlJc w:val="left"/>
      <w:pPr>
        <w:ind w:left="18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643C4">
      <w:start w:val="1"/>
      <w:numFmt w:val="decimal"/>
      <w:lvlText w:val="%4"/>
      <w:lvlJc w:val="left"/>
      <w:pPr>
        <w:ind w:left="25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2C5E6">
      <w:start w:val="1"/>
      <w:numFmt w:val="lowerLetter"/>
      <w:lvlText w:val="%5"/>
      <w:lvlJc w:val="left"/>
      <w:pPr>
        <w:ind w:left="324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EDA36">
      <w:start w:val="1"/>
      <w:numFmt w:val="lowerRoman"/>
      <w:lvlText w:val="%6"/>
      <w:lvlJc w:val="left"/>
      <w:pPr>
        <w:ind w:left="396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6F760">
      <w:start w:val="1"/>
      <w:numFmt w:val="decimal"/>
      <w:lvlText w:val="%7"/>
      <w:lvlJc w:val="left"/>
      <w:pPr>
        <w:ind w:left="468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6CB58">
      <w:start w:val="1"/>
      <w:numFmt w:val="lowerLetter"/>
      <w:lvlText w:val="%8"/>
      <w:lvlJc w:val="left"/>
      <w:pPr>
        <w:ind w:left="540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0B0F4">
      <w:start w:val="1"/>
      <w:numFmt w:val="lowerRoman"/>
      <w:lvlText w:val="%9"/>
      <w:lvlJc w:val="left"/>
      <w:pPr>
        <w:ind w:left="6122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2B1988"/>
    <w:multiLevelType w:val="hybridMultilevel"/>
    <w:tmpl w:val="966C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25639"/>
    <w:multiLevelType w:val="hybridMultilevel"/>
    <w:tmpl w:val="FC2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0AD0"/>
    <w:multiLevelType w:val="hybridMultilevel"/>
    <w:tmpl w:val="C242E278"/>
    <w:lvl w:ilvl="0" w:tplc="8CF8767A">
      <w:start w:val="8"/>
      <w:numFmt w:val="decimal"/>
      <w:lvlText w:val="%1"/>
      <w:lvlJc w:val="left"/>
      <w:pPr>
        <w:ind w:left="7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7C9114DA"/>
    <w:multiLevelType w:val="hybridMultilevel"/>
    <w:tmpl w:val="313E61F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8"/>
  </w:num>
  <w:num w:numId="12">
    <w:abstractNumId w:val="13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E0"/>
    <w:rsid w:val="00090747"/>
    <w:rsid w:val="000F2B9C"/>
    <w:rsid w:val="001154D1"/>
    <w:rsid w:val="0011705C"/>
    <w:rsid w:val="00187280"/>
    <w:rsid w:val="00191609"/>
    <w:rsid w:val="001927E0"/>
    <w:rsid w:val="001A262A"/>
    <w:rsid w:val="001A6A1C"/>
    <w:rsid w:val="001D26C1"/>
    <w:rsid w:val="001E0E9A"/>
    <w:rsid w:val="00204618"/>
    <w:rsid w:val="0021107A"/>
    <w:rsid w:val="0027225D"/>
    <w:rsid w:val="00287536"/>
    <w:rsid w:val="002B6A97"/>
    <w:rsid w:val="002C2F2B"/>
    <w:rsid w:val="002C2F78"/>
    <w:rsid w:val="002D6524"/>
    <w:rsid w:val="002E076C"/>
    <w:rsid w:val="00305A53"/>
    <w:rsid w:val="00315EA8"/>
    <w:rsid w:val="003349BF"/>
    <w:rsid w:val="0036423B"/>
    <w:rsid w:val="003910B3"/>
    <w:rsid w:val="003C5BD6"/>
    <w:rsid w:val="003C6A57"/>
    <w:rsid w:val="003E3C10"/>
    <w:rsid w:val="003F279B"/>
    <w:rsid w:val="00401AF4"/>
    <w:rsid w:val="00414912"/>
    <w:rsid w:val="00415A6A"/>
    <w:rsid w:val="004E23C1"/>
    <w:rsid w:val="00515591"/>
    <w:rsid w:val="0051618E"/>
    <w:rsid w:val="005226D9"/>
    <w:rsid w:val="00571AEF"/>
    <w:rsid w:val="005947B3"/>
    <w:rsid w:val="005976DB"/>
    <w:rsid w:val="005C12DF"/>
    <w:rsid w:val="005D41B5"/>
    <w:rsid w:val="006002DA"/>
    <w:rsid w:val="0061133A"/>
    <w:rsid w:val="006230A9"/>
    <w:rsid w:val="006565C1"/>
    <w:rsid w:val="00681A86"/>
    <w:rsid w:val="006A1678"/>
    <w:rsid w:val="00730838"/>
    <w:rsid w:val="00774490"/>
    <w:rsid w:val="007A20FA"/>
    <w:rsid w:val="007A703A"/>
    <w:rsid w:val="007D2937"/>
    <w:rsid w:val="007E6010"/>
    <w:rsid w:val="00813EAB"/>
    <w:rsid w:val="0081615B"/>
    <w:rsid w:val="00876DB7"/>
    <w:rsid w:val="008831A4"/>
    <w:rsid w:val="008E6FF9"/>
    <w:rsid w:val="0090446C"/>
    <w:rsid w:val="00925175"/>
    <w:rsid w:val="00991596"/>
    <w:rsid w:val="009A6ECB"/>
    <w:rsid w:val="009E0463"/>
    <w:rsid w:val="00A15354"/>
    <w:rsid w:val="00A31B52"/>
    <w:rsid w:val="00A4525B"/>
    <w:rsid w:val="00A60776"/>
    <w:rsid w:val="00A71BA4"/>
    <w:rsid w:val="00A90B80"/>
    <w:rsid w:val="00AD32C8"/>
    <w:rsid w:val="00B55EDA"/>
    <w:rsid w:val="00B56F64"/>
    <w:rsid w:val="00BA51CC"/>
    <w:rsid w:val="00BE6D20"/>
    <w:rsid w:val="00BE7EB7"/>
    <w:rsid w:val="00BF49B0"/>
    <w:rsid w:val="00C11A11"/>
    <w:rsid w:val="00C120AF"/>
    <w:rsid w:val="00C56FE8"/>
    <w:rsid w:val="00C76734"/>
    <w:rsid w:val="00CA04C4"/>
    <w:rsid w:val="00CD1CB7"/>
    <w:rsid w:val="00CD3B16"/>
    <w:rsid w:val="00CE0DB6"/>
    <w:rsid w:val="00CF3E8A"/>
    <w:rsid w:val="00D1056F"/>
    <w:rsid w:val="00D539B5"/>
    <w:rsid w:val="00D870D0"/>
    <w:rsid w:val="00DB090E"/>
    <w:rsid w:val="00DF02C3"/>
    <w:rsid w:val="00E24813"/>
    <w:rsid w:val="00E50D33"/>
    <w:rsid w:val="00E74837"/>
    <w:rsid w:val="00EF5FEE"/>
    <w:rsid w:val="00F00C28"/>
    <w:rsid w:val="00F27292"/>
    <w:rsid w:val="00F90926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54D"/>
  <w15:docId w15:val="{48648674-76FD-4929-AC10-9875F2AB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5" w:line="281" w:lineRule="auto"/>
      <w:ind w:left="86" w:hanging="10"/>
      <w:jc w:val="both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5" w:line="249" w:lineRule="auto"/>
      <w:ind w:left="10" w:right="-15" w:hanging="10"/>
      <w:jc w:val="center"/>
      <w:outlineLvl w:val="0"/>
    </w:pPr>
    <w:rPr>
      <w:rFonts w:ascii="Book Antiqua" w:eastAsia="Book Antiqua" w:hAnsi="Book Antiqua" w:cs="Book Antiqua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9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926"/>
    <w:rPr>
      <w:rFonts w:ascii="Book Antiqua" w:eastAsia="Book Antiqua" w:hAnsi="Book Antiqua" w:cs="Book Antiqu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926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26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04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6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A6A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F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0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4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7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4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45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randa.Zogaj@rks-gov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yeministri.rks-gov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Fitore.j.Gash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yeministri.rks-gov.ne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D558-E26D-4967-ABDB-6816A912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Nehat Pllana</dc:creator>
  <cp:keywords/>
  <cp:lastModifiedBy>Shpresa Zariqi</cp:lastModifiedBy>
  <cp:revision>6</cp:revision>
  <dcterms:created xsi:type="dcterms:W3CDTF">2026-05-12T08:05:00Z</dcterms:created>
  <dcterms:modified xsi:type="dcterms:W3CDTF">2026-05-20T06:11:00Z</dcterms:modified>
</cp:coreProperties>
</file>