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6640" w14:textId="76DC4FAB" w:rsidR="0076282E" w:rsidRDefault="00422604" w:rsidP="00646EBE">
      <w:pPr>
        <w:rPr>
          <w:b/>
          <w:bCs/>
        </w:rPr>
      </w:pPr>
      <w:r>
        <w:rPr>
          <w:noProof/>
          <w:sz w:val="17"/>
        </w:rPr>
        <w:drawing>
          <wp:anchor distT="0" distB="0" distL="0" distR="0" simplePos="0" relativeHeight="251661312" behindDoc="1" locked="0" layoutInCell="1" allowOverlap="1" wp14:anchorId="63F0AD97" wp14:editId="34E8BEC7">
            <wp:simplePos x="0" y="0"/>
            <wp:positionH relativeFrom="page">
              <wp:align>left</wp:align>
            </wp:positionH>
            <wp:positionV relativeFrom="margin">
              <wp:posOffset>-1219200</wp:posOffset>
            </wp:positionV>
            <wp:extent cx="8267975" cy="1067562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8267975" cy="10675620"/>
                    </a:xfrm>
                    <a:prstGeom prst="rect">
                      <a:avLst/>
                    </a:prstGeom>
                  </pic:spPr>
                </pic:pic>
              </a:graphicData>
            </a:graphic>
            <wp14:sizeRelH relativeFrom="margin">
              <wp14:pctWidth>0</wp14:pctWidth>
            </wp14:sizeRelH>
            <wp14:sizeRelV relativeFrom="margin">
              <wp14:pctHeight>0</wp14:pctHeight>
            </wp14:sizeRelV>
          </wp:anchor>
        </w:drawing>
      </w:r>
    </w:p>
    <w:p w14:paraId="3F854461" w14:textId="3E4D51A3" w:rsidR="00422604" w:rsidRDefault="00422604" w:rsidP="00646EBE">
      <w:pPr>
        <w:rPr>
          <w:b/>
          <w:bCs/>
        </w:rPr>
      </w:pPr>
    </w:p>
    <w:p w14:paraId="056E1637" w14:textId="30484456" w:rsidR="00422604" w:rsidRDefault="00422604" w:rsidP="00646EBE">
      <w:pPr>
        <w:rPr>
          <w:b/>
          <w:bCs/>
        </w:rPr>
      </w:pPr>
    </w:p>
    <w:p w14:paraId="00DCB0CD" w14:textId="0BCDF27D" w:rsidR="00422604" w:rsidRDefault="00422604" w:rsidP="00646EBE">
      <w:pPr>
        <w:rPr>
          <w:b/>
          <w:bCs/>
        </w:rPr>
      </w:pPr>
    </w:p>
    <w:p w14:paraId="570F4AF3" w14:textId="65D969AD" w:rsidR="00422604" w:rsidRDefault="00422604" w:rsidP="00646EBE">
      <w:pPr>
        <w:rPr>
          <w:b/>
          <w:bCs/>
        </w:rPr>
      </w:pPr>
    </w:p>
    <w:p w14:paraId="285A1B89" w14:textId="0CBD6848" w:rsidR="00422604" w:rsidRDefault="00422604" w:rsidP="00646EBE">
      <w:pPr>
        <w:rPr>
          <w:b/>
          <w:bCs/>
        </w:rPr>
      </w:pPr>
    </w:p>
    <w:p w14:paraId="3FF1E08B" w14:textId="5FBA3B4F" w:rsidR="00422604" w:rsidRDefault="00422604" w:rsidP="00646EBE">
      <w:pPr>
        <w:rPr>
          <w:b/>
          <w:bCs/>
        </w:rPr>
      </w:pPr>
    </w:p>
    <w:p w14:paraId="5A74BD6A" w14:textId="77777777" w:rsidR="00422604" w:rsidRDefault="00422604" w:rsidP="00646EBE">
      <w:pPr>
        <w:rPr>
          <w:b/>
          <w:bCs/>
        </w:rPr>
      </w:pPr>
    </w:p>
    <w:p w14:paraId="74B46A2F" w14:textId="42D1EB67" w:rsidR="00422604" w:rsidRDefault="00422604" w:rsidP="00646EBE">
      <w:pPr>
        <w:rPr>
          <w:b/>
          <w:bCs/>
        </w:rPr>
      </w:pPr>
    </w:p>
    <w:p w14:paraId="558027D0" w14:textId="77777777" w:rsidR="00422604" w:rsidRDefault="00422604" w:rsidP="00646EBE">
      <w:pPr>
        <w:rPr>
          <w:b/>
          <w:bCs/>
        </w:rPr>
      </w:pPr>
    </w:p>
    <w:p w14:paraId="5D9D2A6B" w14:textId="54C6F29F" w:rsidR="00422604" w:rsidRDefault="00422604" w:rsidP="00646EBE">
      <w:pPr>
        <w:rPr>
          <w:b/>
          <w:bCs/>
        </w:rPr>
      </w:pPr>
    </w:p>
    <w:p w14:paraId="2199523E" w14:textId="4E151FCE" w:rsidR="00422604" w:rsidRDefault="00422604" w:rsidP="00646EBE">
      <w:pPr>
        <w:rPr>
          <w:b/>
          <w:bCs/>
        </w:rPr>
      </w:pPr>
    </w:p>
    <w:p w14:paraId="77BD6D41" w14:textId="69F14965" w:rsidR="00422604" w:rsidRDefault="00401E49" w:rsidP="00401E49">
      <w:pPr>
        <w:tabs>
          <w:tab w:val="left" w:pos="3945"/>
          <w:tab w:val="center" w:pos="4770"/>
        </w:tabs>
        <w:rPr>
          <w:b/>
          <w:bCs/>
        </w:rPr>
      </w:pPr>
      <w:r>
        <w:rPr>
          <w:b/>
          <w:bCs/>
        </w:rPr>
        <w:tab/>
      </w:r>
      <w:r>
        <w:rPr>
          <w:b/>
          <w:bCs/>
        </w:rPr>
        <w:tab/>
      </w:r>
    </w:p>
    <w:p w14:paraId="00D33725" w14:textId="172DF830" w:rsidR="00422604" w:rsidRDefault="00422604" w:rsidP="00646EBE">
      <w:pPr>
        <w:rPr>
          <w:b/>
          <w:bCs/>
        </w:rPr>
      </w:pPr>
    </w:p>
    <w:p w14:paraId="44789DEA" w14:textId="77777777" w:rsidR="00422604" w:rsidRDefault="00422604" w:rsidP="00646EBE">
      <w:pPr>
        <w:rPr>
          <w:b/>
          <w:bCs/>
        </w:rPr>
      </w:pPr>
    </w:p>
    <w:p w14:paraId="0AF6119C" w14:textId="77777777" w:rsidR="00422604" w:rsidRDefault="00422604" w:rsidP="00646EBE">
      <w:pPr>
        <w:rPr>
          <w:b/>
          <w:bCs/>
        </w:rPr>
      </w:pPr>
    </w:p>
    <w:p w14:paraId="4781597E" w14:textId="5BF8966D" w:rsidR="00422604" w:rsidRDefault="00422604" w:rsidP="00646EBE">
      <w:pPr>
        <w:rPr>
          <w:b/>
          <w:bCs/>
        </w:rPr>
      </w:pPr>
    </w:p>
    <w:p w14:paraId="36C51C4B" w14:textId="0C56B7B3" w:rsidR="00422604" w:rsidRDefault="00422604" w:rsidP="00646EBE">
      <w:pPr>
        <w:rPr>
          <w:b/>
          <w:bCs/>
        </w:rPr>
      </w:pPr>
    </w:p>
    <w:p w14:paraId="6ECC4A21" w14:textId="19C40355" w:rsidR="00422604" w:rsidRDefault="00422604" w:rsidP="00646EBE">
      <w:pPr>
        <w:rPr>
          <w:b/>
          <w:bCs/>
        </w:rPr>
      </w:pPr>
    </w:p>
    <w:p w14:paraId="2084B973" w14:textId="77777777" w:rsidR="00422604" w:rsidRDefault="00422604" w:rsidP="00646EBE">
      <w:pPr>
        <w:rPr>
          <w:b/>
          <w:bCs/>
        </w:rPr>
      </w:pPr>
    </w:p>
    <w:p w14:paraId="72883FCA" w14:textId="77777777" w:rsidR="00422604" w:rsidRDefault="00422604" w:rsidP="00646EBE">
      <w:pPr>
        <w:rPr>
          <w:b/>
          <w:bCs/>
        </w:rPr>
      </w:pPr>
    </w:p>
    <w:p w14:paraId="6B172E58" w14:textId="6246AF03" w:rsidR="00422604" w:rsidRDefault="00422604" w:rsidP="00646EBE">
      <w:pPr>
        <w:rPr>
          <w:b/>
          <w:bCs/>
        </w:rPr>
      </w:pPr>
    </w:p>
    <w:p w14:paraId="56062F99" w14:textId="77777777" w:rsidR="00422604" w:rsidRDefault="00422604" w:rsidP="00646EBE">
      <w:pPr>
        <w:rPr>
          <w:b/>
          <w:bCs/>
        </w:rPr>
      </w:pPr>
    </w:p>
    <w:p w14:paraId="76870C9F" w14:textId="7CB4942D" w:rsidR="00422604" w:rsidRDefault="00422604" w:rsidP="00646EBE">
      <w:pPr>
        <w:rPr>
          <w:b/>
          <w:bCs/>
        </w:rPr>
      </w:pPr>
    </w:p>
    <w:p w14:paraId="27E29BCE" w14:textId="77777777" w:rsidR="00422604" w:rsidRDefault="00422604" w:rsidP="00646EBE">
      <w:pPr>
        <w:rPr>
          <w:b/>
          <w:bCs/>
        </w:rPr>
      </w:pPr>
    </w:p>
    <w:p w14:paraId="37A54130" w14:textId="77777777" w:rsidR="00422604" w:rsidRDefault="00422604" w:rsidP="00646EBE">
      <w:pPr>
        <w:rPr>
          <w:b/>
          <w:bCs/>
        </w:rPr>
      </w:pPr>
    </w:p>
    <w:p w14:paraId="19B634E0" w14:textId="27027242" w:rsidR="00422604" w:rsidRDefault="00422604" w:rsidP="00646EBE">
      <w:pPr>
        <w:rPr>
          <w:b/>
          <w:bCs/>
        </w:rPr>
      </w:pPr>
    </w:p>
    <w:p w14:paraId="5C024849" w14:textId="77777777" w:rsidR="00422604" w:rsidRDefault="00422604" w:rsidP="00646EBE">
      <w:pPr>
        <w:rPr>
          <w:b/>
          <w:bCs/>
        </w:rPr>
      </w:pPr>
    </w:p>
    <w:p w14:paraId="7BE9E007" w14:textId="7E173968" w:rsidR="00646EBE" w:rsidRPr="00937662" w:rsidRDefault="00646EBE" w:rsidP="00646EBE">
      <w:pPr>
        <w:rPr>
          <w:b/>
          <w:bCs/>
        </w:rPr>
      </w:pPr>
      <w:r w:rsidRPr="00937662">
        <w:rPr>
          <w:noProof/>
          <w:lang w:eastAsia="sq-AL"/>
        </w:rPr>
        <w:lastRenderedPageBreak/>
        <w:drawing>
          <wp:anchor distT="0" distB="0" distL="114300" distR="114300" simplePos="0" relativeHeight="251659264" behindDoc="1" locked="0" layoutInCell="1" allowOverlap="1" wp14:anchorId="689424E0" wp14:editId="16578D14">
            <wp:simplePos x="0" y="0"/>
            <wp:positionH relativeFrom="column">
              <wp:posOffset>2438400</wp:posOffset>
            </wp:positionH>
            <wp:positionV relativeFrom="paragraph">
              <wp:posOffset>-342900</wp:posOffset>
            </wp:positionV>
            <wp:extent cx="83820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47390" w14:textId="77777777" w:rsidR="00646EBE" w:rsidRPr="00937662" w:rsidRDefault="00646EBE" w:rsidP="00646EBE">
      <w:pPr>
        <w:jc w:val="center"/>
        <w:rPr>
          <w:rFonts w:ascii="Book Antiqua" w:hAnsi="Book Antiqua" w:cs="Book Antiqua"/>
          <w:b/>
          <w:bCs/>
          <w:sz w:val="32"/>
          <w:szCs w:val="32"/>
        </w:rPr>
      </w:pPr>
    </w:p>
    <w:p w14:paraId="1B124171" w14:textId="77777777" w:rsidR="00646EBE" w:rsidRPr="00937662" w:rsidRDefault="00646EBE" w:rsidP="00646EBE">
      <w:pPr>
        <w:jc w:val="center"/>
        <w:rPr>
          <w:rFonts w:ascii="Book Antiqua" w:eastAsia="Batang" w:hAnsi="Book Antiqua"/>
          <w:b/>
          <w:bCs/>
          <w:sz w:val="32"/>
          <w:szCs w:val="32"/>
        </w:rPr>
      </w:pPr>
      <w:r w:rsidRPr="00937662">
        <w:rPr>
          <w:rFonts w:ascii="Book Antiqua" w:hAnsi="Book Antiqua" w:cs="Book Antiqua"/>
          <w:b/>
          <w:bCs/>
          <w:sz w:val="32"/>
          <w:szCs w:val="32"/>
        </w:rPr>
        <w:t>Republika e Kosovës</w:t>
      </w:r>
    </w:p>
    <w:p w14:paraId="266555A2" w14:textId="77777777" w:rsidR="00646EBE" w:rsidRPr="00937662" w:rsidRDefault="00646EBE" w:rsidP="00646EBE">
      <w:pPr>
        <w:jc w:val="center"/>
        <w:rPr>
          <w:rFonts w:ascii="Book Antiqua" w:hAnsi="Book Antiqua" w:cs="Book Antiqua"/>
          <w:b/>
          <w:bCs/>
          <w:szCs w:val="24"/>
        </w:rPr>
      </w:pPr>
      <w:r w:rsidRPr="00937662">
        <w:rPr>
          <w:rFonts w:ascii="Book Antiqua" w:eastAsia="Batang" w:hAnsi="Book Antiqua" w:cs="Book Antiqua"/>
          <w:b/>
          <w:bCs/>
          <w:szCs w:val="24"/>
        </w:rPr>
        <w:t xml:space="preserve">Republika Kosova - </w:t>
      </w:r>
      <w:r w:rsidRPr="00937662">
        <w:rPr>
          <w:rFonts w:ascii="Book Antiqua" w:hAnsi="Book Antiqua" w:cs="Book Antiqua"/>
          <w:b/>
          <w:bCs/>
          <w:szCs w:val="24"/>
          <w:lang w:val="en-US"/>
        </w:rPr>
        <w:t>Republic of Kosovo</w:t>
      </w:r>
    </w:p>
    <w:p w14:paraId="1892E991" w14:textId="77777777" w:rsidR="00646EBE" w:rsidRPr="00937662" w:rsidRDefault="00646EBE" w:rsidP="00646EBE">
      <w:pPr>
        <w:pStyle w:val="Title"/>
        <w:ind w:left="180"/>
        <w:rPr>
          <w:rFonts w:ascii="Book Antiqua" w:hAnsi="Book Antiqua"/>
          <w:i/>
          <w:iCs/>
          <w:lang w:val="en-US"/>
        </w:rPr>
      </w:pPr>
      <w:bookmarkStart w:id="0" w:name="OLE_LINK2"/>
      <w:r w:rsidRPr="00937662">
        <w:rPr>
          <w:rFonts w:ascii="Book Antiqua" w:hAnsi="Book Antiqua"/>
          <w:i/>
          <w:iCs/>
        </w:rPr>
        <w:t xml:space="preserve">Qeveria - </w:t>
      </w:r>
      <w:r w:rsidRPr="00937662">
        <w:rPr>
          <w:rFonts w:ascii="Book Antiqua" w:hAnsi="Book Antiqua"/>
          <w:i/>
          <w:iCs/>
          <w:lang w:val="sr-Cyrl-ME"/>
        </w:rPr>
        <w:t xml:space="preserve">Vlada - </w:t>
      </w:r>
      <w:r w:rsidRPr="00937662">
        <w:rPr>
          <w:rFonts w:ascii="Book Antiqua" w:hAnsi="Book Antiqua"/>
          <w:i/>
          <w:iCs/>
          <w:lang w:val="en-US"/>
        </w:rPr>
        <w:t>Government</w:t>
      </w:r>
      <w:bookmarkEnd w:id="0"/>
    </w:p>
    <w:p w14:paraId="57171E9D" w14:textId="77777777" w:rsidR="00646EBE" w:rsidRPr="00937662" w:rsidRDefault="00646EBE" w:rsidP="00646EBE">
      <w:pPr>
        <w:jc w:val="center"/>
        <w:rPr>
          <w:rFonts w:ascii="Book Antiqua" w:hAnsi="Book Antiqua" w:cs="Book Antiqua"/>
          <w:b/>
          <w:i/>
          <w:iCs/>
          <w:szCs w:val="24"/>
        </w:rPr>
      </w:pPr>
      <w:r w:rsidRPr="00937662">
        <w:rPr>
          <w:rFonts w:ascii="Book Antiqua" w:hAnsi="Book Antiqua" w:cs="Book Antiqua"/>
          <w:b/>
          <w:i/>
          <w:iCs/>
          <w:szCs w:val="24"/>
        </w:rPr>
        <w:t xml:space="preserve">Ministria e Industrisë, </w:t>
      </w:r>
      <w:proofErr w:type="spellStart"/>
      <w:r w:rsidRPr="00937662">
        <w:rPr>
          <w:rFonts w:ascii="Book Antiqua" w:hAnsi="Book Antiqua" w:cs="Book Antiqua"/>
          <w:b/>
          <w:i/>
          <w:iCs/>
          <w:szCs w:val="24"/>
        </w:rPr>
        <w:t>Ndërmarrësisë</w:t>
      </w:r>
      <w:proofErr w:type="spellEnd"/>
      <w:r w:rsidRPr="00937662">
        <w:rPr>
          <w:rFonts w:ascii="Book Antiqua" w:hAnsi="Book Antiqua" w:cs="Book Antiqua"/>
          <w:b/>
          <w:i/>
          <w:iCs/>
          <w:szCs w:val="24"/>
        </w:rPr>
        <w:t xml:space="preserve"> dhe Tregtisë</w:t>
      </w:r>
    </w:p>
    <w:p w14:paraId="2CFE5D0E" w14:textId="77777777" w:rsidR="00646EBE" w:rsidRPr="00937662" w:rsidRDefault="00646EBE" w:rsidP="00646EBE">
      <w:pPr>
        <w:jc w:val="center"/>
        <w:rPr>
          <w:rFonts w:ascii="Book Antiqua" w:hAnsi="Book Antiqua" w:cs="Book Antiqua"/>
          <w:b/>
          <w:i/>
          <w:iCs/>
          <w:szCs w:val="24"/>
        </w:rPr>
      </w:pPr>
      <w:r w:rsidRPr="00937662">
        <w:rPr>
          <w:rFonts w:ascii="Book Antiqua" w:hAnsi="Book Antiqua" w:cs="Book Antiqua"/>
          <w:b/>
          <w:i/>
          <w:iCs/>
          <w:szCs w:val="24"/>
          <w:lang w:val="sr-Cyrl-BA"/>
        </w:rPr>
        <w:t>Ministarstvo Industrije, Preduzetništva i Trgovine</w:t>
      </w:r>
      <w:r w:rsidRPr="00937662">
        <w:rPr>
          <w:rFonts w:ascii="Book Antiqua" w:hAnsi="Book Antiqua" w:cs="Book Antiqua"/>
          <w:b/>
          <w:i/>
          <w:iCs/>
          <w:szCs w:val="24"/>
        </w:rPr>
        <w:t xml:space="preserve"> - </w:t>
      </w:r>
      <w:r w:rsidRPr="00937662">
        <w:rPr>
          <w:rFonts w:ascii="Book Antiqua" w:hAnsi="Book Antiqua" w:cs="Book Antiqua"/>
          <w:b/>
          <w:i/>
          <w:iCs/>
          <w:szCs w:val="24"/>
          <w:lang w:val="en-US"/>
        </w:rPr>
        <w:t>Ministry of Industry, Entrepreneurship and Trade</w:t>
      </w:r>
    </w:p>
    <w:p w14:paraId="3544AAC4" w14:textId="77777777" w:rsidR="00646EBE" w:rsidRPr="00937662" w:rsidRDefault="00646EBE" w:rsidP="00646EBE">
      <w:pPr>
        <w:pStyle w:val="CharCharChar"/>
        <w:spacing w:line="240" w:lineRule="auto"/>
        <w:jc w:val="center"/>
        <w:rPr>
          <w:rFonts w:ascii="Book Antiqua" w:hAnsi="Book Antiqua" w:cs="Book Antiqua"/>
          <w:b/>
          <w:i/>
          <w:iCs/>
        </w:rPr>
      </w:pPr>
      <w:r w:rsidRPr="00937662">
        <w:rPr>
          <w:rFonts w:ascii="Book Antiqua" w:hAnsi="Book Antiqua" w:cs="Book Antiqua"/>
          <w:b/>
          <w:bCs/>
          <w:iCs/>
        </w:rPr>
        <w:t>__________________________________________________________________________________________</w:t>
      </w:r>
      <w:r w:rsidRPr="00937662">
        <w:rPr>
          <w:rFonts w:ascii="Book Antiqua" w:hAnsi="Book Antiqua"/>
          <w:sz w:val="16"/>
          <w:szCs w:val="16"/>
        </w:rPr>
        <w:t xml:space="preserve">                                         </w:t>
      </w:r>
    </w:p>
    <w:p w14:paraId="26580263" w14:textId="77777777" w:rsidR="00FC649E" w:rsidRPr="00937662" w:rsidRDefault="00646EBE" w:rsidP="00646EBE">
      <w:pPr>
        <w:rPr>
          <w:rFonts w:cs="Times New Roman"/>
          <w:szCs w:val="24"/>
        </w:rPr>
      </w:pPr>
      <w:r w:rsidRPr="00937662">
        <w:t xml:space="preserve"> </w:t>
      </w:r>
    </w:p>
    <w:p w14:paraId="196059FF" w14:textId="77777777" w:rsidR="00FC649E" w:rsidRPr="00937662" w:rsidRDefault="00FC649E" w:rsidP="00FC649E">
      <w:pPr>
        <w:spacing w:line="276" w:lineRule="auto"/>
        <w:rPr>
          <w:rFonts w:cs="Times New Roman"/>
          <w:szCs w:val="24"/>
        </w:rPr>
      </w:pPr>
    </w:p>
    <w:p w14:paraId="206950CC" w14:textId="77777777" w:rsidR="00FC649E" w:rsidRPr="00937662" w:rsidRDefault="00FC649E" w:rsidP="00FC649E">
      <w:pPr>
        <w:spacing w:line="276" w:lineRule="auto"/>
        <w:rPr>
          <w:rFonts w:cs="Times New Roman"/>
          <w:szCs w:val="24"/>
        </w:rPr>
      </w:pPr>
    </w:p>
    <w:p w14:paraId="2D49CF36" w14:textId="53B60A6F" w:rsidR="00AA3635" w:rsidRPr="00AA3635" w:rsidRDefault="00AA3635" w:rsidP="00AA3635">
      <w:pPr>
        <w:spacing w:line="276" w:lineRule="auto"/>
        <w:jc w:val="center"/>
        <w:rPr>
          <w:rFonts w:cs="Times New Roman"/>
          <w:b/>
        </w:rPr>
      </w:pPr>
      <w:r w:rsidRPr="00AA3635">
        <w:rPr>
          <w:rFonts w:cs="Times New Roman"/>
          <w:b/>
        </w:rPr>
        <w:t xml:space="preserve">KONCEPT DOKUMENT </w:t>
      </w:r>
    </w:p>
    <w:p w14:paraId="1CCB0F06" w14:textId="039F122D" w:rsidR="00FC649E" w:rsidRPr="00937662" w:rsidRDefault="00AA3635" w:rsidP="00AA3635">
      <w:pPr>
        <w:spacing w:line="276" w:lineRule="auto"/>
        <w:jc w:val="center"/>
        <w:rPr>
          <w:rFonts w:cs="Times New Roman"/>
          <w:color w:val="323E4F" w:themeColor="text2" w:themeShade="BF"/>
          <w:szCs w:val="24"/>
        </w:rPr>
      </w:pPr>
      <w:r w:rsidRPr="00AA3635">
        <w:rPr>
          <w:rFonts w:cs="Times New Roman"/>
          <w:b/>
        </w:rPr>
        <w:t>PËR FUSHËN E MASAVE ANTIDAMPING DHE MASAVE KUNDËRBALANCUESE</w:t>
      </w:r>
    </w:p>
    <w:p w14:paraId="350C2276" w14:textId="77777777" w:rsidR="00FC649E" w:rsidRPr="00937662" w:rsidRDefault="00FC649E" w:rsidP="00FC649E">
      <w:pPr>
        <w:spacing w:line="276" w:lineRule="auto"/>
        <w:rPr>
          <w:rFonts w:cs="Times New Roman"/>
          <w:szCs w:val="24"/>
        </w:rPr>
      </w:pPr>
    </w:p>
    <w:p w14:paraId="2D92D512" w14:textId="77777777" w:rsidR="00FC649E" w:rsidRPr="00937662" w:rsidRDefault="00FC649E" w:rsidP="00FC649E">
      <w:pPr>
        <w:spacing w:line="276" w:lineRule="auto"/>
        <w:rPr>
          <w:rFonts w:cs="Times New Roman"/>
          <w:szCs w:val="24"/>
        </w:rPr>
      </w:pPr>
    </w:p>
    <w:p w14:paraId="7504E2F6" w14:textId="77777777" w:rsidR="00FC649E" w:rsidRPr="00937662" w:rsidRDefault="00FC649E" w:rsidP="00FC649E">
      <w:pPr>
        <w:spacing w:line="276" w:lineRule="auto"/>
        <w:rPr>
          <w:rFonts w:cs="Times New Roman"/>
          <w:szCs w:val="24"/>
        </w:rPr>
      </w:pPr>
    </w:p>
    <w:p w14:paraId="5783E5E3" w14:textId="77777777" w:rsidR="00FC649E" w:rsidRPr="00937662" w:rsidRDefault="00FC649E" w:rsidP="00FC649E">
      <w:pPr>
        <w:spacing w:line="276" w:lineRule="auto"/>
        <w:rPr>
          <w:rFonts w:cs="Times New Roman"/>
          <w:szCs w:val="24"/>
        </w:rPr>
      </w:pPr>
    </w:p>
    <w:p w14:paraId="7A170C4E" w14:textId="77777777" w:rsidR="00FC649E" w:rsidRPr="00937662" w:rsidRDefault="00FC649E" w:rsidP="00FC649E">
      <w:pPr>
        <w:spacing w:line="276" w:lineRule="auto"/>
        <w:rPr>
          <w:rFonts w:cs="Times New Roman"/>
          <w:szCs w:val="24"/>
        </w:rPr>
      </w:pPr>
    </w:p>
    <w:p w14:paraId="613FFA2E" w14:textId="77777777" w:rsidR="00FC649E" w:rsidRPr="00937662" w:rsidRDefault="00FC649E" w:rsidP="00FC649E">
      <w:pPr>
        <w:spacing w:line="276" w:lineRule="auto"/>
        <w:rPr>
          <w:rFonts w:cs="Times New Roman"/>
          <w:szCs w:val="24"/>
        </w:rPr>
      </w:pPr>
    </w:p>
    <w:p w14:paraId="6E6D9BA3" w14:textId="77777777" w:rsidR="00FC649E" w:rsidRPr="00937662" w:rsidRDefault="00FC649E" w:rsidP="00FC649E">
      <w:pPr>
        <w:spacing w:line="276" w:lineRule="auto"/>
        <w:rPr>
          <w:rFonts w:cs="Times New Roman"/>
          <w:szCs w:val="24"/>
        </w:rPr>
      </w:pPr>
    </w:p>
    <w:p w14:paraId="7DF8AFC0" w14:textId="77777777" w:rsidR="00FC649E" w:rsidRPr="00937662" w:rsidRDefault="00FC649E" w:rsidP="00FC649E">
      <w:pPr>
        <w:spacing w:line="276" w:lineRule="auto"/>
        <w:rPr>
          <w:rFonts w:cs="Times New Roman"/>
          <w:szCs w:val="24"/>
        </w:rPr>
      </w:pPr>
    </w:p>
    <w:p w14:paraId="487B5C8C" w14:textId="2F84314B" w:rsidR="00FC649E" w:rsidRPr="00937662" w:rsidRDefault="00C61237" w:rsidP="00FC649E">
      <w:pPr>
        <w:spacing w:line="276" w:lineRule="auto"/>
        <w:jc w:val="center"/>
        <w:rPr>
          <w:rFonts w:cs="Times New Roman"/>
          <w:i/>
          <w:color w:val="1F4E79" w:themeColor="accent1" w:themeShade="80"/>
          <w:szCs w:val="24"/>
        </w:rPr>
      </w:pPr>
      <w:r>
        <w:rPr>
          <w:i/>
          <w:color w:val="1F4E79" w:themeColor="accent1" w:themeShade="80"/>
        </w:rPr>
        <w:t>Gusht</w:t>
      </w:r>
      <w:r w:rsidR="00FC649E" w:rsidRPr="00937662">
        <w:rPr>
          <w:i/>
          <w:color w:val="1F4E79" w:themeColor="accent1" w:themeShade="80"/>
        </w:rPr>
        <w:t xml:space="preserve"> 202</w:t>
      </w:r>
      <w:r w:rsidR="00BB1F39">
        <w:rPr>
          <w:i/>
          <w:color w:val="1F4E79" w:themeColor="accent1" w:themeShade="80"/>
        </w:rPr>
        <w:t>4</w:t>
      </w:r>
    </w:p>
    <w:p w14:paraId="3F9A542E" w14:textId="77777777" w:rsidR="00FC649E" w:rsidRPr="00937662" w:rsidRDefault="00FC649E" w:rsidP="00FC649E">
      <w:pPr>
        <w:spacing w:line="276" w:lineRule="auto"/>
        <w:rPr>
          <w:rFonts w:cs="Times New Roman"/>
          <w:i/>
          <w:color w:val="1F4E79" w:themeColor="accent1" w:themeShade="80"/>
          <w:szCs w:val="24"/>
        </w:rPr>
      </w:pPr>
    </w:p>
    <w:p w14:paraId="1E9C4314" w14:textId="77777777" w:rsidR="00FC649E" w:rsidRDefault="00FC649E" w:rsidP="00FC649E">
      <w:pPr>
        <w:spacing w:line="276" w:lineRule="auto"/>
        <w:rPr>
          <w:rFonts w:cs="Times New Roman"/>
          <w:szCs w:val="24"/>
        </w:rPr>
      </w:pPr>
    </w:p>
    <w:p w14:paraId="4AB0F251" w14:textId="77777777" w:rsidR="00BB1F39" w:rsidRPr="00937662" w:rsidRDefault="00BB1F39" w:rsidP="00FC649E">
      <w:pPr>
        <w:spacing w:line="276" w:lineRule="auto"/>
        <w:rPr>
          <w:rFonts w:cs="Times New Roman"/>
          <w:szCs w:val="24"/>
        </w:rPr>
      </w:pPr>
    </w:p>
    <w:p w14:paraId="6BC60BFD" w14:textId="77777777" w:rsidR="00FC649E" w:rsidRPr="00937662" w:rsidRDefault="00FC649E" w:rsidP="00FC649E">
      <w:pPr>
        <w:spacing w:line="276" w:lineRule="auto"/>
        <w:rPr>
          <w:rFonts w:cs="Times New Roman"/>
          <w:szCs w:val="24"/>
        </w:rPr>
      </w:pPr>
    </w:p>
    <w:sdt>
      <w:sdtPr>
        <w:rPr>
          <w:rFonts w:ascii="Times New Roman" w:eastAsiaTheme="minorHAnsi" w:hAnsi="Times New Roman" w:cs="Times New Roman"/>
          <w:b/>
          <w:color w:val="auto"/>
          <w:sz w:val="24"/>
          <w:szCs w:val="22"/>
        </w:rPr>
        <w:id w:val="-381878820"/>
        <w:docPartObj>
          <w:docPartGallery w:val="Table of Contents"/>
          <w:docPartUnique/>
        </w:docPartObj>
      </w:sdtPr>
      <w:sdtEndPr>
        <w:rPr>
          <w:rFonts w:eastAsia="MS Mincho" w:cstheme="minorBidi"/>
          <w:bCs/>
          <w:noProof/>
        </w:rPr>
      </w:sdtEndPr>
      <w:sdtContent>
        <w:p w14:paraId="27C6CBD1" w14:textId="77777777" w:rsidR="004F2524" w:rsidRPr="00937662" w:rsidRDefault="00646EBE" w:rsidP="006549E0">
          <w:pPr>
            <w:pStyle w:val="TOCHeading"/>
            <w:jc w:val="both"/>
            <w:rPr>
              <w:rFonts w:ascii="Times New Roman" w:hAnsi="Times New Roman" w:cs="Times New Roman"/>
              <w:b/>
            </w:rPr>
          </w:pPr>
          <w:r w:rsidRPr="00937662">
            <w:rPr>
              <w:rFonts w:ascii="Times New Roman" w:hAnsi="Times New Roman" w:cs="Times New Roman"/>
              <w:b/>
            </w:rPr>
            <w:t xml:space="preserve">Përmbajtja </w:t>
          </w:r>
        </w:p>
        <w:p w14:paraId="1085E1C7" w14:textId="77777777" w:rsidR="00646EBE" w:rsidRPr="00937662" w:rsidRDefault="00646EBE" w:rsidP="006549E0">
          <w:pPr>
            <w:jc w:val="both"/>
          </w:pPr>
        </w:p>
        <w:p w14:paraId="058C4A30" w14:textId="77777777" w:rsidR="006549E0" w:rsidRPr="00937662" w:rsidRDefault="004F2524">
          <w:pPr>
            <w:pStyle w:val="TOC1"/>
            <w:rPr>
              <w:rFonts w:asciiTheme="minorHAnsi" w:eastAsiaTheme="minorEastAsia" w:hAnsiTheme="minorHAnsi" w:cstheme="minorBidi"/>
              <w:sz w:val="22"/>
              <w:lang w:eastAsia="sq-AL"/>
            </w:rPr>
          </w:pPr>
          <w:r w:rsidRPr="00937662">
            <w:fldChar w:fldCharType="begin"/>
          </w:r>
          <w:r w:rsidRPr="00937662">
            <w:instrText xml:space="preserve"> TOC \o "1-3" \h \z \u </w:instrText>
          </w:r>
          <w:r w:rsidRPr="00937662">
            <w:fldChar w:fldCharType="separate"/>
          </w:r>
          <w:hyperlink w:anchor="_Toc69198215" w:history="1">
            <w:r w:rsidR="006549E0" w:rsidRPr="00937662">
              <w:rPr>
                <w:rStyle w:val="Hyperlink"/>
                <w:b/>
              </w:rPr>
              <w:t>Përmbledhje e koncept dokumentit</w:t>
            </w:r>
            <w:r w:rsidR="006549E0" w:rsidRPr="00937662">
              <w:rPr>
                <w:webHidden/>
              </w:rPr>
              <w:tab/>
            </w:r>
            <w:r w:rsidR="006549E0" w:rsidRPr="00937662">
              <w:rPr>
                <w:webHidden/>
              </w:rPr>
              <w:fldChar w:fldCharType="begin"/>
            </w:r>
            <w:r w:rsidR="006549E0" w:rsidRPr="00937662">
              <w:rPr>
                <w:webHidden/>
              </w:rPr>
              <w:instrText xml:space="preserve"> PAGEREF _Toc69198215 \h </w:instrText>
            </w:r>
            <w:r w:rsidR="006549E0" w:rsidRPr="00937662">
              <w:rPr>
                <w:webHidden/>
              </w:rPr>
            </w:r>
            <w:r w:rsidR="006549E0" w:rsidRPr="00937662">
              <w:rPr>
                <w:webHidden/>
              </w:rPr>
              <w:fldChar w:fldCharType="separate"/>
            </w:r>
            <w:r w:rsidR="006549E0" w:rsidRPr="00937662">
              <w:rPr>
                <w:webHidden/>
              </w:rPr>
              <w:t>3</w:t>
            </w:r>
            <w:r w:rsidR="006549E0" w:rsidRPr="00937662">
              <w:rPr>
                <w:webHidden/>
              </w:rPr>
              <w:fldChar w:fldCharType="end"/>
            </w:r>
          </w:hyperlink>
        </w:p>
        <w:p w14:paraId="7206BFB8" w14:textId="6036B1B1" w:rsidR="006549E0" w:rsidRDefault="00AD12B9">
          <w:pPr>
            <w:pStyle w:val="TOC1"/>
          </w:pPr>
          <w:hyperlink w:anchor="_Toc69198216" w:history="1">
            <w:r w:rsidR="006549E0" w:rsidRPr="00937662">
              <w:rPr>
                <w:rStyle w:val="Hyperlink"/>
                <w:b/>
              </w:rPr>
              <w:t>Hyrje</w:t>
            </w:r>
            <w:r w:rsidR="006549E0" w:rsidRPr="00937662">
              <w:rPr>
                <w:webHidden/>
              </w:rPr>
              <w:tab/>
            </w:r>
            <w:r w:rsidR="001F2FC9">
              <w:rPr>
                <w:webHidden/>
              </w:rPr>
              <w:t>6</w:t>
            </w:r>
          </w:hyperlink>
        </w:p>
        <w:p w14:paraId="1C6A3542" w14:textId="6A57BA4A" w:rsidR="00F71475" w:rsidRPr="004B0CDC" w:rsidRDefault="001F2FC9" w:rsidP="004B0CDC">
          <w:pPr>
            <w:rPr>
              <w:rFonts w:eastAsiaTheme="minorHAnsi"/>
            </w:rPr>
          </w:pPr>
          <w:r>
            <w:t>Tabela 1</w:t>
          </w:r>
          <w:r w:rsidR="00F71475">
            <w:t xml:space="preserve">: </w:t>
          </w:r>
          <w:r w:rsidR="00F71475" w:rsidRPr="00F71475">
            <w:t>Tabela me informata të përgjithshme lidhur me Koncept Dokumentin</w:t>
          </w:r>
          <w:r w:rsidR="00F87746">
            <w:t>................</w:t>
          </w:r>
          <w:r>
            <w:t>...</w:t>
          </w:r>
          <w:r w:rsidR="00736DD7">
            <w:t>.</w:t>
          </w:r>
          <w:r>
            <w:t>.........7</w:t>
          </w:r>
        </w:p>
        <w:p w14:paraId="07F5DD19" w14:textId="37A27B1B" w:rsidR="006549E0" w:rsidRDefault="00AD12B9">
          <w:pPr>
            <w:pStyle w:val="TOC1"/>
          </w:pPr>
          <w:hyperlink w:anchor="_Toc69198217" w:history="1">
            <w:r w:rsidR="006549E0" w:rsidRPr="00937662">
              <w:rPr>
                <w:rStyle w:val="Hyperlink"/>
                <w:b/>
              </w:rPr>
              <w:t>Kapitulli 1: Përkufizimi i problemit</w:t>
            </w:r>
            <w:r w:rsidR="006549E0" w:rsidRPr="00937662">
              <w:rPr>
                <w:webHidden/>
              </w:rPr>
              <w:tab/>
            </w:r>
          </w:hyperlink>
          <w:r w:rsidR="00B34731">
            <w:t>8</w:t>
          </w:r>
        </w:p>
        <w:p w14:paraId="6F59922C" w14:textId="7140DFC2" w:rsidR="001F2FC9" w:rsidRPr="001F2FC9" w:rsidRDefault="001F2FC9" w:rsidP="001F2FC9">
          <w:r>
            <w:t>Tabela 2</w:t>
          </w:r>
          <w:r w:rsidRPr="001F2FC9">
            <w:t>: Pema e problemit që e paraqet problemin kryesor, shkaqet dhe efektet e tij</w:t>
          </w:r>
          <w:r>
            <w:t>......................9</w:t>
          </w:r>
        </w:p>
        <w:p w14:paraId="7E2FC73E" w14:textId="01DD36F9" w:rsidR="001F2FC9" w:rsidRDefault="00753657" w:rsidP="004B0CDC">
          <w:r>
            <w:t>Identifikimi i problemit/.............</w:t>
          </w:r>
          <w:r w:rsidR="001F2FC9">
            <w:t>.........................................................................................................9</w:t>
          </w:r>
        </w:p>
        <w:p w14:paraId="1C873528" w14:textId="77777777" w:rsidR="006549E0" w:rsidRPr="00937662" w:rsidRDefault="00AD12B9" w:rsidP="001F2FC9">
          <w:pPr>
            <w:pStyle w:val="TOC2"/>
            <w:tabs>
              <w:tab w:val="right" w:leader="dot" w:pos="9530"/>
            </w:tabs>
            <w:ind w:left="0"/>
            <w:rPr>
              <w:rFonts w:asciiTheme="minorHAnsi" w:eastAsiaTheme="minorEastAsia" w:hAnsiTheme="minorHAnsi"/>
              <w:noProof/>
              <w:sz w:val="22"/>
              <w:lang w:eastAsia="sq-AL"/>
            </w:rPr>
          </w:pPr>
          <w:hyperlink w:anchor="_Toc69198218" w:history="1">
            <w:r w:rsidR="001F2FC9">
              <w:rPr>
                <w:rStyle w:val="Hyperlink"/>
                <w:noProof/>
              </w:rPr>
              <w:t>Tabela 3</w:t>
            </w:r>
            <w:r w:rsidR="00677A20" w:rsidRPr="00677A20">
              <w:rPr>
                <w:rStyle w:val="Hyperlink"/>
                <w:noProof/>
              </w:rPr>
              <w:t xml:space="preserve"> : Dokumentet relevante të politikave, ligjet dhe </w:t>
            </w:r>
            <w:r w:rsidR="007F0E19">
              <w:rPr>
                <w:rStyle w:val="Hyperlink"/>
                <w:noProof/>
              </w:rPr>
              <w:t>rregulloret e BE-së</w:t>
            </w:r>
            <w:r w:rsidR="006549E0" w:rsidRPr="00937662">
              <w:rPr>
                <w:noProof/>
                <w:webHidden/>
              </w:rPr>
              <w:tab/>
            </w:r>
            <w:r w:rsidR="006549E0" w:rsidRPr="00937662">
              <w:rPr>
                <w:noProof/>
                <w:webHidden/>
              </w:rPr>
              <w:fldChar w:fldCharType="begin"/>
            </w:r>
            <w:r w:rsidR="006549E0" w:rsidRPr="00937662">
              <w:rPr>
                <w:noProof/>
                <w:webHidden/>
              </w:rPr>
              <w:instrText xml:space="preserve"> PAGEREF _Toc69198218 \h </w:instrText>
            </w:r>
            <w:r w:rsidR="006549E0" w:rsidRPr="00937662">
              <w:rPr>
                <w:noProof/>
                <w:webHidden/>
              </w:rPr>
            </w:r>
            <w:r w:rsidR="006549E0" w:rsidRPr="00937662">
              <w:rPr>
                <w:noProof/>
                <w:webHidden/>
              </w:rPr>
              <w:fldChar w:fldCharType="separate"/>
            </w:r>
            <w:r w:rsidR="006549E0" w:rsidRPr="00937662">
              <w:rPr>
                <w:noProof/>
                <w:webHidden/>
              </w:rPr>
              <w:t>1</w:t>
            </w:r>
            <w:r w:rsidR="006549E0" w:rsidRPr="00937662">
              <w:rPr>
                <w:noProof/>
                <w:webHidden/>
              </w:rPr>
              <w:fldChar w:fldCharType="end"/>
            </w:r>
          </w:hyperlink>
          <w:r w:rsidR="001F2FC9">
            <w:rPr>
              <w:noProof/>
            </w:rPr>
            <w:t>9</w:t>
          </w:r>
        </w:p>
        <w:p w14:paraId="5E936B83" w14:textId="1C56A57E" w:rsidR="00EE706C" w:rsidRPr="004B0CDC" w:rsidRDefault="00EE706C" w:rsidP="004B0CDC">
          <w:pPr>
            <w:rPr>
              <w:rFonts w:eastAsiaTheme="minorHAnsi"/>
            </w:rPr>
          </w:pPr>
          <w:r>
            <w:t>Tabela 4</w:t>
          </w:r>
          <w:r w:rsidRPr="00EE706C">
            <w:t>: Pasqyrë e palëve të interesuara bazuar në përkufizimin e problemit</w:t>
          </w:r>
          <w:r>
            <w:t xml:space="preserve"> ..........................</w:t>
          </w:r>
          <w:r w:rsidR="001F2FC9">
            <w:t>.....23</w:t>
          </w:r>
        </w:p>
        <w:p w14:paraId="65073CC4" w14:textId="1600CE6B" w:rsidR="006549E0" w:rsidRPr="00937662" w:rsidRDefault="00AD12B9">
          <w:pPr>
            <w:pStyle w:val="TOC1"/>
            <w:rPr>
              <w:rFonts w:asciiTheme="minorHAnsi" w:eastAsiaTheme="minorEastAsia" w:hAnsiTheme="minorHAnsi" w:cstheme="minorBidi"/>
              <w:sz w:val="22"/>
              <w:lang w:eastAsia="sq-AL"/>
            </w:rPr>
          </w:pPr>
          <w:hyperlink w:anchor="_Toc69198221" w:history="1">
            <w:r w:rsidR="006549E0" w:rsidRPr="00937662">
              <w:rPr>
                <w:rStyle w:val="Hyperlink"/>
                <w:b/>
              </w:rPr>
              <w:t>Kapitulli 2: Objektivat</w:t>
            </w:r>
            <w:r w:rsidR="006549E0" w:rsidRPr="00937662">
              <w:rPr>
                <w:webHidden/>
              </w:rPr>
              <w:tab/>
            </w:r>
            <w:r w:rsidR="001F2FC9">
              <w:rPr>
                <w:webHidden/>
              </w:rPr>
              <w:t>25</w:t>
            </w:r>
          </w:hyperlink>
        </w:p>
        <w:p w14:paraId="61B308C9" w14:textId="061A8D61" w:rsidR="006549E0" w:rsidRPr="00937662" w:rsidRDefault="00925316" w:rsidP="001F2FC9">
          <w:pPr>
            <w:pStyle w:val="TOC2"/>
            <w:tabs>
              <w:tab w:val="right" w:leader="dot" w:pos="9530"/>
            </w:tabs>
            <w:ind w:left="0"/>
            <w:rPr>
              <w:rFonts w:asciiTheme="minorHAnsi" w:eastAsiaTheme="minorEastAsia" w:hAnsiTheme="minorHAnsi"/>
              <w:noProof/>
              <w:sz w:val="22"/>
              <w:lang w:eastAsia="sq-AL"/>
            </w:rPr>
          </w:pPr>
          <w:r>
            <w:t xml:space="preserve">Tabela </w:t>
          </w:r>
          <w:r w:rsidR="00EE706C">
            <w:t>5</w:t>
          </w:r>
          <w:r>
            <w:t xml:space="preserve"> </w:t>
          </w:r>
          <w:hyperlink w:anchor="_Toc69198222" w:history="1">
            <w:r w:rsidR="006549E0" w:rsidRPr="00937662">
              <w:rPr>
                <w:rStyle w:val="Hyperlink"/>
                <w:noProof/>
              </w:rPr>
              <w:t xml:space="preserve">. </w:t>
            </w:r>
            <w:r>
              <w:rPr>
                <w:rStyle w:val="Hyperlink"/>
                <w:noProof/>
              </w:rPr>
              <w:t>Objektivat relevante të Qeverisë</w:t>
            </w:r>
            <w:r w:rsidR="006549E0" w:rsidRPr="00937662">
              <w:rPr>
                <w:rStyle w:val="Hyperlink"/>
                <w:noProof/>
              </w:rPr>
              <w:t xml:space="preserve"> </w:t>
            </w:r>
            <w:r w:rsidR="006549E0" w:rsidRPr="00937662">
              <w:rPr>
                <w:noProof/>
                <w:webHidden/>
              </w:rPr>
              <w:tab/>
            </w:r>
            <w:r w:rsidR="006549E0" w:rsidRPr="00937662">
              <w:rPr>
                <w:noProof/>
                <w:webHidden/>
              </w:rPr>
              <w:fldChar w:fldCharType="begin"/>
            </w:r>
            <w:r w:rsidR="006549E0" w:rsidRPr="00937662">
              <w:rPr>
                <w:noProof/>
                <w:webHidden/>
              </w:rPr>
              <w:instrText xml:space="preserve"> PAGEREF _Toc69198222 \h </w:instrText>
            </w:r>
            <w:r w:rsidR="006549E0" w:rsidRPr="00937662">
              <w:rPr>
                <w:noProof/>
                <w:webHidden/>
              </w:rPr>
            </w:r>
            <w:r w:rsidR="006549E0" w:rsidRPr="00937662">
              <w:rPr>
                <w:noProof/>
                <w:webHidden/>
              </w:rPr>
              <w:fldChar w:fldCharType="end"/>
            </w:r>
          </w:hyperlink>
          <w:r w:rsidR="001F2FC9">
            <w:rPr>
              <w:noProof/>
            </w:rPr>
            <w:t>25</w:t>
          </w:r>
        </w:p>
        <w:p w14:paraId="3A12500B" w14:textId="38106101" w:rsidR="006549E0" w:rsidRPr="00937662" w:rsidRDefault="00AD12B9" w:rsidP="001F2FC9">
          <w:pPr>
            <w:pStyle w:val="TOC1"/>
            <w:rPr>
              <w:rFonts w:asciiTheme="minorHAnsi" w:eastAsiaTheme="minorEastAsia" w:hAnsiTheme="minorHAnsi"/>
              <w:sz w:val="22"/>
              <w:lang w:eastAsia="sq-AL"/>
            </w:rPr>
          </w:pPr>
          <w:hyperlink w:anchor="_Toc69198223" w:history="1">
            <w:r w:rsidR="006549E0" w:rsidRPr="00937662">
              <w:rPr>
                <w:rStyle w:val="Hyperlink"/>
                <w:b/>
              </w:rPr>
              <w:t>Kapitulli 3: Opsionet</w:t>
            </w:r>
            <w:r w:rsidR="006549E0" w:rsidRPr="00937662">
              <w:rPr>
                <w:webHidden/>
              </w:rPr>
              <w:tab/>
            </w:r>
          </w:hyperlink>
          <w:r w:rsidR="001F2FC9">
            <w:t>28</w:t>
          </w:r>
        </w:p>
        <w:p w14:paraId="38169129" w14:textId="4472259F" w:rsidR="00736DD7" w:rsidRDefault="00736DD7">
          <w:pPr>
            <w:pStyle w:val="TOC2"/>
            <w:tabs>
              <w:tab w:val="right" w:leader="dot" w:pos="9530"/>
            </w:tabs>
          </w:pPr>
          <w:r>
            <w:t>Kapitulli 3.1</w:t>
          </w:r>
          <w:r w:rsidRPr="00736DD7">
            <w:t>: Opsioni: P</w:t>
          </w:r>
          <w:r>
            <w:t>a ndryshim..............................................................................................28</w:t>
          </w:r>
        </w:p>
        <w:p w14:paraId="6B9596F3" w14:textId="2CEDC11F" w:rsidR="006549E0" w:rsidRPr="00937662" w:rsidRDefault="00AD12B9">
          <w:pPr>
            <w:pStyle w:val="TOC2"/>
            <w:tabs>
              <w:tab w:val="right" w:leader="dot" w:pos="9530"/>
            </w:tabs>
            <w:rPr>
              <w:rFonts w:asciiTheme="minorHAnsi" w:eastAsiaTheme="minorEastAsia" w:hAnsiTheme="minorHAnsi"/>
              <w:noProof/>
              <w:sz w:val="22"/>
              <w:lang w:eastAsia="sq-AL"/>
            </w:rPr>
          </w:pPr>
          <w:hyperlink w:anchor="_Toc69198225" w:history="1">
            <w:r w:rsidR="006549E0" w:rsidRPr="00937662">
              <w:rPr>
                <w:rStyle w:val="Hyperlink"/>
                <w:noProof/>
              </w:rPr>
              <w:t xml:space="preserve">Kapitulli 3.2: </w:t>
            </w:r>
            <w:r w:rsidR="00836D57">
              <w:rPr>
                <w:rStyle w:val="Hyperlink"/>
                <w:noProof/>
              </w:rPr>
              <w:t xml:space="preserve">Opsioni: </w:t>
            </w:r>
            <w:r w:rsidR="006549E0" w:rsidRPr="00937662">
              <w:rPr>
                <w:rStyle w:val="Hyperlink"/>
                <w:noProof/>
              </w:rPr>
              <w:t>Përmirësimi i zbatimit të kornizës aktuale ligjore</w:t>
            </w:r>
            <w:r w:rsidR="006549E0" w:rsidRPr="00937662">
              <w:rPr>
                <w:noProof/>
                <w:webHidden/>
              </w:rPr>
              <w:tab/>
            </w:r>
            <w:r w:rsidR="006549E0" w:rsidRPr="00937662">
              <w:rPr>
                <w:noProof/>
                <w:webHidden/>
              </w:rPr>
              <w:fldChar w:fldCharType="begin"/>
            </w:r>
            <w:r w:rsidR="006549E0" w:rsidRPr="00937662">
              <w:rPr>
                <w:noProof/>
                <w:webHidden/>
              </w:rPr>
              <w:instrText xml:space="preserve"> PAGEREF _Toc69198225 \h </w:instrText>
            </w:r>
            <w:r w:rsidR="006549E0" w:rsidRPr="00937662">
              <w:rPr>
                <w:noProof/>
                <w:webHidden/>
              </w:rPr>
            </w:r>
            <w:r w:rsidR="006549E0" w:rsidRPr="00937662">
              <w:rPr>
                <w:noProof/>
                <w:webHidden/>
              </w:rPr>
              <w:fldChar w:fldCharType="end"/>
            </w:r>
          </w:hyperlink>
          <w:r w:rsidR="001F2FC9">
            <w:rPr>
              <w:noProof/>
            </w:rPr>
            <w:t>28</w:t>
          </w:r>
        </w:p>
        <w:p w14:paraId="64CCEA20" w14:textId="32923F8A" w:rsidR="006549E0" w:rsidRPr="00937662" w:rsidRDefault="00AD12B9">
          <w:pPr>
            <w:pStyle w:val="TOC2"/>
            <w:tabs>
              <w:tab w:val="right" w:leader="dot" w:pos="9530"/>
            </w:tabs>
            <w:rPr>
              <w:rFonts w:asciiTheme="minorHAnsi" w:eastAsiaTheme="minorEastAsia" w:hAnsiTheme="minorHAnsi"/>
              <w:noProof/>
              <w:sz w:val="22"/>
              <w:lang w:eastAsia="sq-AL"/>
            </w:rPr>
          </w:pPr>
          <w:hyperlink w:anchor="_Toc69198226" w:history="1">
            <w:r w:rsidR="006549E0" w:rsidRPr="00937662">
              <w:rPr>
                <w:rStyle w:val="Hyperlink"/>
                <w:noProof/>
              </w:rPr>
              <w:t xml:space="preserve">Kapitulli 3.3: </w:t>
            </w:r>
            <w:r w:rsidR="00836D57">
              <w:rPr>
                <w:rStyle w:val="Hyperlink"/>
                <w:noProof/>
              </w:rPr>
              <w:t xml:space="preserve">Opsioni: </w:t>
            </w:r>
            <w:r w:rsidR="006549E0" w:rsidRPr="00937662">
              <w:rPr>
                <w:rStyle w:val="Hyperlink"/>
                <w:noProof/>
              </w:rPr>
              <w:t xml:space="preserve">Hartimi i Ligjit të ri për </w:t>
            </w:r>
            <w:r w:rsidR="008D5FFD">
              <w:rPr>
                <w:rStyle w:val="Hyperlink"/>
                <w:noProof/>
              </w:rPr>
              <w:t>Masat Antidamping dhe Masat Kund</w:t>
            </w:r>
            <w:r w:rsidR="00E2780F">
              <w:rPr>
                <w:rStyle w:val="Hyperlink"/>
                <w:noProof/>
              </w:rPr>
              <w:t>ë</w:t>
            </w:r>
            <w:r w:rsidR="008D5FFD">
              <w:rPr>
                <w:rStyle w:val="Hyperlink"/>
                <w:noProof/>
              </w:rPr>
              <w:t>rbalancuese</w:t>
            </w:r>
            <w:r w:rsidR="001F7812">
              <w:rPr>
                <w:rStyle w:val="Hyperlink"/>
                <w:noProof/>
              </w:rPr>
              <w:t>.........................................................................................................................</w:t>
            </w:r>
          </w:hyperlink>
          <w:r w:rsidR="001F2FC9">
            <w:rPr>
              <w:noProof/>
            </w:rPr>
            <w:t>28</w:t>
          </w:r>
        </w:p>
        <w:p w14:paraId="243EC596" w14:textId="09505A84" w:rsidR="006549E0" w:rsidRDefault="00AD12B9">
          <w:pPr>
            <w:pStyle w:val="TOC1"/>
          </w:pPr>
          <w:hyperlink w:anchor="_Toc69198227" w:history="1">
            <w:r w:rsidR="006549E0" w:rsidRPr="00937662">
              <w:rPr>
                <w:rStyle w:val="Hyperlink"/>
                <w:b/>
              </w:rPr>
              <w:t>Kapitulli 4: Identifikimi dhe vlerësimi i ndikimeve në të ardhmen</w:t>
            </w:r>
            <w:r w:rsidR="006549E0" w:rsidRPr="00937662">
              <w:rPr>
                <w:webHidden/>
              </w:rPr>
              <w:tab/>
            </w:r>
          </w:hyperlink>
          <w:r w:rsidR="001F2FC9">
            <w:t>33</w:t>
          </w:r>
        </w:p>
        <w:p w14:paraId="12F5150F" w14:textId="435535C2" w:rsidR="001F7812" w:rsidRPr="001F7812" w:rsidRDefault="001F7812" w:rsidP="001F7812">
          <w:r>
            <w:t>Tabela 6</w:t>
          </w:r>
          <w:r w:rsidRPr="001F7812">
            <w:t xml:space="preserve"> . </w:t>
          </w:r>
          <w:r w:rsidR="00A717EE">
            <w:t>Ndikimet më të rëndësishme të identifikuara sipas kategorisë së ndikimit</w:t>
          </w:r>
          <w:r>
            <w:t>.....................</w:t>
          </w:r>
          <w:r w:rsidR="00A717EE">
            <w:t>33</w:t>
          </w:r>
        </w:p>
        <w:p w14:paraId="172EDDEB" w14:textId="0B37B2B0" w:rsidR="006549E0" w:rsidRPr="00937662" w:rsidRDefault="00AD12B9">
          <w:pPr>
            <w:pStyle w:val="TOC2"/>
            <w:tabs>
              <w:tab w:val="right" w:leader="dot" w:pos="9530"/>
            </w:tabs>
            <w:rPr>
              <w:rFonts w:asciiTheme="minorHAnsi" w:eastAsiaTheme="minorEastAsia" w:hAnsiTheme="minorHAnsi"/>
              <w:noProof/>
              <w:sz w:val="22"/>
              <w:lang w:eastAsia="sq-AL"/>
            </w:rPr>
          </w:pPr>
          <w:hyperlink w:anchor="_Toc69198228" w:history="1">
            <w:r w:rsidR="006549E0" w:rsidRPr="00937662">
              <w:rPr>
                <w:rStyle w:val="Hyperlink"/>
                <w:noProof/>
              </w:rPr>
              <w:t>Kapitulli 4.1: Sfidat me mbledhjen e të dhënave</w:t>
            </w:r>
            <w:r w:rsidR="006549E0" w:rsidRPr="00937662">
              <w:rPr>
                <w:noProof/>
                <w:webHidden/>
              </w:rPr>
              <w:tab/>
            </w:r>
          </w:hyperlink>
          <w:r w:rsidR="00A717EE">
            <w:rPr>
              <w:noProof/>
            </w:rPr>
            <w:t>34</w:t>
          </w:r>
        </w:p>
        <w:p w14:paraId="7C042C5A" w14:textId="6B73D669" w:rsidR="006549E0" w:rsidRDefault="00AD12B9">
          <w:pPr>
            <w:pStyle w:val="TOC1"/>
          </w:pPr>
          <w:hyperlink w:anchor="_Toc69198229" w:history="1">
            <w:r w:rsidR="006549E0" w:rsidRPr="00937662">
              <w:rPr>
                <w:rStyle w:val="Hyperlink"/>
                <w:b/>
              </w:rPr>
              <w:t>Kapitulli 5: Komunikimi dhe konsultimi</w:t>
            </w:r>
            <w:r w:rsidR="006549E0" w:rsidRPr="00937662">
              <w:rPr>
                <w:webHidden/>
              </w:rPr>
              <w:tab/>
            </w:r>
          </w:hyperlink>
          <w:r w:rsidR="00A717EE">
            <w:t>35</w:t>
          </w:r>
        </w:p>
        <w:p w14:paraId="19CC55AB" w14:textId="218D1952" w:rsidR="001F7812" w:rsidRPr="001F7812" w:rsidRDefault="001F7812" w:rsidP="001F7812">
          <w:r w:rsidRPr="001F7812">
            <w:t xml:space="preserve">Tabela </w:t>
          </w:r>
          <w:r>
            <w:t>7</w:t>
          </w:r>
          <w:r w:rsidRPr="001F7812">
            <w:t xml:space="preserve"> . Përmbledhje e aktiviteteve të komunikimit dhe konsultimit të realizuara për koncept dokumentin</w:t>
          </w:r>
          <w:r>
            <w:t xml:space="preserve"> ......................................................................................................................................</w:t>
          </w:r>
          <w:r w:rsidR="00A717EE">
            <w:t>35</w:t>
          </w:r>
        </w:p>
        <w:p w14:paraId="47266A70" w14:textId="7F9535C8" w:rsidR="006549E0" w:rsidRPr="00937662" w:rsidRDefault="00AD12B9">
          <w:pPr>
            <w:pStyle w:val="TOC1"/>
            <w:rPr>
              <w:rFonts w:asciiTheme="minorHAnsi" w:eastAsiaTheme="minorEastAsia" w:hAnsiTheme="minorHAnsi" w:cstheme="minorBidi"/>
              <w:sz w:val="22"/>
              <w:lang w:eastAsia="sq-AL"/>
            </w:rPr>
          </w:pPr>
          <w:hyperlink w:anchor="_Toc69198230" w:history="1">
            <w:r w:rsidR="006549E0" w:rsidRPr="00937662">
              <w:rPr>
                <w:rStyle w:val="Hyperlink"/>
                <w:b/>
              </w:rPr>
              <w:t>Kapitulli 6: Krahasimi i opsioneve</w:t>
            </w:r>
            <w:r w:rsidR="006549E0" w:rsidRPr="00937662">
              <w:rPr>
                <w:webHidden/>
              </w:rPr>
              <w:tab/>
            </w:r>
          </w:hyperlink>
          <w:r w:rsidR="00A717EE">
            <w:t>37</w:t>
          </w:r>
        </w:p>
        <w:p w14:paraId="27CE1A57" w14:textId="192B23BD" w:rsidR="006549E0" w:rsidRDefault="00AD12B9" w:rsidP="001F7812">
          <w:pPr>
            <w:pStyle w:val="TOC2"/>
            <w:tabs>
              <w:tab w:val="right" w:leader="dot" w:pos="9530"/>
            </w:tabs>
            <w:ind w:left="0"/>
            <w:rPr>
              <w:noProof/>
            </w:rPr>
          </w:pPr>
          <w:hyperlink w:anchor="_Toc69198231" w:history="1">
            <w:r w:rsidR="006549E0" w:rsidRPr="00937662">
              <w:rPr>
                <w:rStyle w:val="Hyperlink"/>
                <w:noProof/>
              </w:rPr>
              <w:t>Kapitulli 6.1</w:t>
            </w:r>
            <w:r w:rsidR="006549E0" w:rsidRPr="00937662">
              <w:rPr>
                <w:rStyle w:val="Hyperlink"/>
                <w:noProof/>
                <w:color w:val="034990" w:themeColor="hyperlink" w:themeShade="BF"/>
              </w:rPr>
              <w:t>:</w:t>
            </w:r>
            <w:r w:rsidR="006549E0" w:rsidRPr="00937662">
              <w:rPr>
                <w:rStyle w:val="Hyperlink"/>
                <w:noProof/>
              </w:rPr>
              <w:t xml:space="preserve"> Plani i zbatimit për opsionin e preferuar</w:t>
            </w:r>
            <w:r w:rsidR="006549E0" w:rsidRPr="00937662">
              <w:rPr>
                <w:noProof/>
                <w:webHidden/>
              </w:rPr>
              <w:tab/>
            </w:r>
          </w:hyperlink>
          <w:r w:rsidR="00A717EE">
            <w:rPr>
              <w:noProof/>
            </w:rPr>
            <w:t>37</w:t>
          </w:r>
        </w:p>
        <w:p w14:paraId="7A47C90E" w14:textId="5C9F45E0" w:rsidR="001F7812" w:rsidRPr="001F7812" w:rsidRDefault="001F7812" w:rsidP="001F7812">
          <w:r w:rsidRPr="001F7812">
            <w:t>Tabela 8: Plani i Zbatimit për Opsionin  3: Hartimi dhe zbatimi i Ligjit të ri për Masat Antidamping dhe Masat Kundërbalancuese</w:t>
          </w:r>
          <w:r>
            <w:t>.....................................................................................</w:t>
          </w:r>
          <w:r w:rsidR="00A717EE">
            <w:t>37</w:t>
          </w:r>
        </w:p>
        <w:p w14:paraId="28D5324E" w14:textId="145AEB7F" w:rsidR="006549E0" w:rsidRDefault="00AD12B9" w:rsidP="001F7812">
          <w:pPr>
            <w:pStyle w:val="TOC2"/>
            <w:tabs>
              <w:tab w:val="right" w:leader="dot" w:pos="9530"/>
            </w:tabs>
            <w:ind w:left="0"/>
            <w:rPr>
              <w:noProof/>
            </w:rPr>
          </w:pPr>
          <w:hyperlink w:anchor="_Toc69198232" w:history="1">
            <w:r w:rsidR="006549E0" w:rsidRPr="00937662">
              <w:rPr>
                <w:rStyle w:val="Hyperlink"/>
                <w:noProof/>
              </w:rPr>
              <w:t>Kapitulli 6.2: Krahasimi i tre opsioneve</w:t>
            </w:r>
            <w:r w:rsidR="006549E0" w:rsidRPr="00937662">
              <w:rPr>
                <w:noProof/>
                <w:webHidden/>
              </w:rPr>
              <w:tab/>
            </w:r>
          </w:hyperlink>
          <w:r w:rsidR="00A717EE">
            <w:rPr>
              <w:noProof/>
            </w:rPr>
            <w:t>39</w:t>
          </w:r>
        </w:p>
        <w:p w14:paraId="0D24043B" w14:textId="417F27E9" w:rsidR="001F7812" w:rsidRPr="001F7812" w:rsidRDefault="001F7812" w:rsidP="001F7812">
          <w:r w:rsidRPr="001F7812">
            <w:t>Tabela 9</w:t>
          </w:r>
          <w:r>
            <w:t>:</w:t>
          </w:r>
          <w:r w:rsidRPr="001F7812">
            <w:t xml:space="preserve"> Krahasimi i opsioneve</w:t>
          </w:r>
          <w:r>
            <w:t>.......................................................................................................</w:t>
          </w:r>
          <w:r w:rsidR="00A717EE">
            <w:t>39</w:t>
          </w:r>
        </w:p>
        <w:p w14:paraId="15F7A4BE" w14:textId="1B39126B" w:rsidR="006549E0" w:rsidRPr="00937662" w:rsidRDefault="00AD12B9">
          <w:pPr>
            <w:pStyle w:val="TOC1"/>
            <w:rPr>
              <w:rFonts w:asciiTheme="minorHAnsi" w:eastAsiaTheme="minorEastAsia" w:hAnsiTheme="minorHAnsi" w:cstheme="minorBidi"/>
              <w:sz w:val="22"/>
              <w:lang w:eastAsia="sq-AL"/>
            </w:rPr>
          </w:pPr>
          <w:hyperlink w:anchor="_Toc69198233" w:history="1">
            <w:r w:rsidR="006549E0" w:rsidRPr="00937662">
              <w:rPr>
                <w:rStyle w:val="Hyperlink"/>
                <w:b/>
                <w:color w:val="auto"/>
              </w:rPr>
              <w:t>Kapitulli 7: Përfundimi dhe hapat e ardhshëm</w:t>
            </w:r>
            <w:r w:rsidR="006549E0" w:rsidRPr="00937662">
              <w:rPr>
                <w:webHidden/>
              </w:rPr>
              <w:tab/>
            </w:r>
          </w:hyperlink>
          <w:r w:rsidR="00A717EE">
            <w:t>40</w:t>
          </w:r>
        </w:p>
        <w:p w14:paraId="5877CEA9" w14:textId="14355FA4" w:rsidR="006549E0" w:rsidRPr="00937662" w:rsidRDefault="00AD12B9">
          <w:pPr>
            <w:pStyle w:val="TOC2"/>
            <w:tabs>
              <w:tab w:val="right" w:leader="dot" w:pos="9530"/>
            </w:tabs>
            <w:rPr>
              <w:rFonts w:asciiTheme="minorHAnsi" w:eastAsiaTheme="minorEastAsia" w:hAnsiTheme="minorHAnsi"/>
              <w:noProof/>
              <w:sz w:val="22"/>
              <w:lang w:eastAsia="sq-AL"/>
            </w:rPr>
          </w:pPr>
          <w:hyperlink w:anchor="_Toc69198234" w:history="1">
            <w:r w:rsidR="006549E0" w:rsidRPr="00937662">
              <w:rPr>
                <w:rStyle w:val="Hyperlink"/>
                <w:noProof/>
              </w:rPr>
              <w:t>Kapitulli 7.1: Dispozitat për monitorim dhe vlerësim</w:t>
            </w:r>
            <w:r w:rsidR="006549E0" w:rsidRPr="00937662">
              <w:rPr>
                <w:noProof/>
                <w:webHidden/>
              </w:rPr>
              <w:tab/>
            </w:r>
          </w:hyperlink>
          <w:r w:rsidR="00A717EE">
            <w:rPr>
              <w:noProof/>
            </w:rPr>
            <w:t>40</w:t>
          </w:r>
        </w:p>
        <w:p w14:paraId="074007BC" w14:textId="677C84CF" w:rsidR="006549E0" w:rsidRPr="00937662" w:rsidRDefault="00AD12B9">
          <w:pPr>
            <w:pStyle w:val="TOC1"/>
            <w:rPr>
              <w:rFonts w:asciiTheme="minorHAnsi" w:eastAsiaTheme="minorEastAsia" w:hAnsiTheme="minorHAnsi" w:cstheme="minorBidi"/>
              <w:sz w:val="22"/>
              <w:lang w:eastAsia="sq-AL"/>
            </w:rPr>
          </w:pPr>
          <w:hyperlink w:anchor="_Toc69198235" w:history="1">
            <w:r w:rsidR="006549E0" w:rsidRPr="00937662">
              <w:rPr>
                <w:rStyle w:val="Hyperlink"/>
              </w:rPr>
              <w:t>Aneksi 1: Formulari i vlerësimit të ndikimit ekonomik</w:t>
            </w:r>
            <w:r w:rsidR="006549E0" w:rsidRPr="00937662">
              <w:rPr>
                <w:webHidden/>
              </w:rPr>
              <w:tab/>
            </w:r>
          </w:hyperlink>
          <w:r w:rsidR="00A717EE">
            <w:t>42</w:t>
          </w:r>
        </w:p>
        <w:p w14:paraId="3E755EB6" w14:textId="03F97DA9" w:rsidR="006549E0" w:rsidRPr="00937662" w:rsidRDefault="00AD12B9">
          <w:pPr>
            <w:pStyle w:val="TOC1"/>
            <w:rPr>
              <w:rFonts w:asciiTheme="minorHAnsi" w:eastAsiaTheme="minorEastAsia" w:hAnsiTheme="minorHAnsi" w:cstheme="minorBidi"/>
              <w:sz w:val="22"/>
              <w:lang w:eastAsia="sq-AL"/>
            </w:rPr>
          </w:pPr>
          <w:hyperlink w:anchor="_Toc69198236" w:history="1">
            <w:r w:rsidR="006549E0" w:rsidRPr="00937662">
              <w:rPr>
                <w:rStyle w:val="Hyperlink"/>
              </w:rPr>
              <w:t xml:space="preserve">Aneksi 2: Formulari i vlerësimit të ndikimeve sociale </w:t>
            </w:r>
            <w:r w:rsidR="006549E0" w:rsidRPr="00937662">
              <w:rPr>
                <w:webHidden/>
              </w:rPr>
              <w:tab/>
            </w:r>
          </w:hyperlink>
          <w:r w:rsidR="00237D84">
            <w:t>45</w:t>
          </w:r>
        </w:p>
        <w:p w14:paraId="37BF346C" w14:textId="75651C51" w:rsidR="006549E0" w:rsidRPr="00937662" w:rsidRDefault="00AD12B9">
          <w:pPr>
            <w:pStyle w:val="TOC1"/>
            <w:rPr>
              <w:rFonts w:asciiTheme="minorHAnsi" w:eastAsiaTheme="minorEastAsia" w:hAnsiTheme="minorHAnsi" w:cstheme="minorBidi"/>
              <w:sz w:val="22"/>
              <w:lang w:eastAsia="sq-AL"/>
            </w:rPr>
          </w:pPr>
          <w:hyperlink w:anchor="_Toc69198237" w:history="1">
            <w:r w:rsidR="006549E0" w:rsidRPr="00937662">
              <w:rPr>
                <w:rStyle w:val="Hyperlink"/>
              </w:rPr>
              <w:t xml:space="preserve">Aneksi 3: Formulari i vlerësimit të ndikimit mjedisor </w:t>
            </w:r>
            <w:r w:rsidR="006549E0" w:rsidRPr="00937662">
              <w:rPr>
                <w:webHidden/>
              </w:rPr>
              <w:tab/>
            </w:r>
          </w:hyperlink>
          <w:r w:rsidR="00237D84">
            <w:t>49</w:t>
          </w:r>
        </w:p>
        <w:p w14:paraId="3D4AF7F0" w14:textId="489B8360" w:rsidR="006549E0" w:rsidRPr="00937662" w:rsidRDefault="00AD12B9">
          <w:pPr>
            <w:pStyle w:val="TOC1"/>
            <w:rPr>
              <w:rFonts w:asciiTheme="minorHAnsi" w:eastAsiaTheme="minorEastAsia" w:hAnsiTheme="minorHAnsi" w:cstheme="minorBidi"/>
              <w:sz w:val="22"/>
              <w:lang w:eastAsia="sq-AL"/>
            </w:rPr>
          </w:pPr>
          <w:hyperlink w:anchor="_Toc69198238" w:history="1">
            <w:r w:rsidR="006549E0" w:rsidRPr="00937662">
              <w:rPr>
                <w:rStyle w:val="Hyperlink"/>
              </w:rPr>
              <w:t>Aneksi 4: Formulari i vlerësimit të ndikimit në të drejtat themelore</w:t>
            </w:r>
            <w:r w:rsidR="006549E0" w:rsidRPr="00937662">
              <w:rPr>
                <w:webHidden/>
              </w:rPr>
              <w:tab/>
            </w:r>
          </w:hyperlink>
          <w:r w:rsidR="00237D84">
            <w:t>51</w:t>
          </w:r>
        </w:p>
        <w:p w14:paraId="722E8342" w14:textId="4C0BA459" w:rsidR="004F2524" w:rsidRPr="00937662" w:rsidRDefault="004F2524" w:rsidP="006549E0">
          <w:pPr>
            <w:jc w:val="both"/>
          </w:pPr>
          <w:r w:rsidRPr="00937662">
            <w:rPr>
              <w:b/>
              <w:bCs/>
              <w:noProof/>
            </w:rPr>
            <w:fldChar w:fldCharType="end"/>
          </w:r>
        </w:p>
      </w:sdtContent>
    </w:sdt>
    <w:p w14:paraId="5CA05721" w14:textId="7DAFC46B" w:rsidR="00DD3528" w:rsidRPr="00324870" w:rsidRDefault="00FC649E" w:rsidP="00324870">
      <w:pPr>
        <w:spacing w:line="276" w:lineRule="auto"/>
        <w:rPr>
          <w:rFonts w:eastAsiaTheme="majorEastAsia" w:cs="Times New Roman"/>
          <w:b/>
          <w:bCs/>
          <w:color w:val="2E74B5" w:themeColor="accent1" w:themeShade="BF"/>
          <w:szCs w:val="24"/>
        </w:rPr>
      </w:pPr>
      <w:r w:rsidRPr="00937662">
        <w:br w:type="page"/>
      </w:r>
    </w:p>
    <w:p w14:paraId="3DA5CAD0" w14:textId="37929C0E" w:rsidR="00FC649E" w:rsidRPr="00937662" w:rsidRDefault="009839BA" w:rsidP="009839BA">
      <w:pPr>
        <w:pStyle w:val="Heading1"/>
        <w:tabs>
          <w:tab w:val="left" w:pos="1365"/>
          <w:tab w:val="center" w:pos="4770"/>
        </w:tabs>
        <w:spacing w:line="276" w:lineRule="auto"/>
        <w:rPr>
          <w:rFonts w:ascii="Times New Roman" w:hAnsi="Times New Roman"/>
          <w:b/>
        </w:rPr>
      </w:pPr>
      <w:r w:rsidRPr="00937662">
        <w:rPr>
          <w:rFonts w:ascii="Times New Roman" w:hAnsi="Times New Roman"/>
          <w:b/>
        </w:rPr>
        <w:lastRenderedPageBreak/>
        <w:tab/>
      </w:r>
      <w:r w:rsidRPr="00937662">
        <w:rPr>
          <w:rFonts w:ascii="Times New Roman" w:hAnsi="Times New Roman"/>
          <w:b/>
        </w:rPr>
        <w:tab/>
      </w:r>
      <w:bookmarkStart w:id="1" w:name="_Toc69198215"/>
      <w:r w:rsidR="00FC649E" w:rsidRPr="00937662">
        <w:rPr>
          <w:rFonts w:ascii="Times New Roman" w:hAnsi="Times New Roman"/>
          <w:b/>
        </w:rPr>
        <w:t>Përmbledhje e koncept dokumentit</w:t>
      </w:r>
      <w:bookmarkEnd w:id="1"/>
    </w:p>
    <w:p w14:paraId="1C625BA4" w14:textId="77777777" w:rsidR="00FC649E" w:rsidRPr="00937662" w:rsidRDefault="00FC649E" w:rsidP="00FC649E">
      <w:pPr>
        <w:spacing w:line="276" w:lineRule="auto"/>
        <w:rPr>
          <w:rFonts w:cs="Times New Roman"/>
          <w:szCs w:val="24"/>
        </w:rPr>
      </w:pPr>
    </w:p>
    <w:tbl>
      <w:tblPr>
        <w:tblStyle w:val="TableGrid"/>
        <w:tblW w:w="9895" w:type="dxa"/>
        <w:tblLook w:val="04A0" w:firstRow="1" w:lastRow="0" w:firstColumn="1" w:lastColumn="0" w:noHBand="0" w:noVBand="1"/>
      </w:tblPr>
      <w:tblGrid>
        <w:gridCol w:w="1795"/>
        <w:gridCol w:w="8100"/>
      </w:tblGrid>
      <w:tr w:rsidR="00FC649E" w:rsidRPr="00937662" w14:paraId="4D18D6E9" w14:textId="77777777" w:rsidTr="00646EBE">
        <w:tc>
          <w:tcPr>
            <w:tcW w:w="989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4626066" w14:textId="77777777" w:rsidR="00FC649E" w:rsidRPr="00937662" w:rsidRDefault="00FC649E" w:rsidP="00646EBE">
            <w:pPr>
              <w:spacing w:line="276" w:lineRule="auto"/>
              <w:rPr>
                <w:rFonts w:cs="Times New Roman"/>
                <w:b/>
                <w:szCs w:val="24"/>
              </w:rPr>
            </w:pPr>
            <w:r w:rsidRPr="00937662">
              <w:rPr>
                <w:b/>
              </w:rPr>
              <w:t>Informatë e përgjithshme</w:t>
            </w:r>
          </w:p>
        </w:tc>
      </w:tr>
      <w:tr w:rsidR="00FC649E" w:rsidRPr="00937662" w14:paraId="70B04B0C" w14:textId="77777777" w:rsidTr="00646EBE">
        <w:tc>
          <w:tcPr>
            <w:tcW w:w="1795" w:type="dxa"/>
            <w:tcBorders>
              <w:top w:val="single" w:sz="4" w:space="0" w:color="auto"/>
              <w:left w:val="single" w:sz="4" w:space="0" w:color="auto"/>
              <w:bottom w:val="single" w:sz="4" w:space="0" w:color="auto"/>
              <w:right w:val="single" w:sz="4" w:space="0" w:color="auto"/>
            </w:tcBorders>
            <w:hideMark/>
          </w:tcPr>
          <w:p w14:paraId="4CF988C7" w14:textId="77777777" w:rsidR="00FC649E" w:rsidRPr="00937662" w:rsidRDefault="00FC649E" w:rsidP="00646EBE">
            <w:pPr>
              <w:spacing w:before="120" w:line="276" w:lineRule="auto"/>
              <w:rPr>
                <w:rFonts w:cs="Times New Roman"/>
                <w:szCs w:val="24"/>
              </w:rPr>
            </w:pPr>
            <w:r w:rsidRPr="00937662">
              <w:t>Titulli</w:t>
            </w:r>
          </w:p>
        </w:tc>
        <w:tc>
          <w:tcPr>
            <w:tcW w:w="8100" w:type="dxa"/>
            <w:tcBorders>
              <w:top w:val="single" w:sz="4" w:space="0" w:color="auto"/>
              <w:left w:val="single" w:sz="4" w:space="0" w:color="auto"/>
              <w:bottom w:val="single" w:sz="4" w:space="0" w:color="auto"/>
              <w:right w:val="single" w:sz="4" w:space="0" w:color="auto"/>
            </w:tcBorders>
            <w:hideMark/>
          </w:tcPr>
          <w:p w14:paraId="1C0115DC" w14:textId="10E2A774" w:rsidR="00FC649E" w:rsidRPr="00937662" w:rsidRDefault="00FC649E" w:rsidP="00287CBA">
            <w:pPr>
              <w:spacing w:before="120" w:line="276" w:lineRule="auto"/>
              <w:rPr>
                <w:rFonts w:cs="Times New Roman"/>
                <w:szCs w:val="24"/>
              </w:rPr>
            </w:pPr>
            <w:r w:rsidRPr="00937662">
              <w:t xml:space="preserve">Koncept dokument në </w:t>
            </w:r>
            <w:r w:rsidR="008D5FFD" w:rsidRPr="008D5FFD">
              <w:t xml:space="preserve">fushën e masave </w:t>
            </w:r>
            <w:proofErr w:type="spellStart"/>
            <w:r w:rsidR="008D5FFD" w:rsidRPr="008D5FFD">
              <w:t>antidamping</w:t>
            </w:r>
            <w:proofErr w:type="spellEnd"/>
            <w:r w:rsidR="008D5FFD" w:rsidRPr="008D5FFD">
              <w:t xml:space="preserve"> dhe masave </w:t>
            </w:r>
            <w:r w:rsidR="00264F47" w:rsidRPr="008D5FFD">
              <w:t>kundër balancuese</w:t>
            </w:r>
          </w:p>
        </w:tc>
      </w:tr>
      <w:tr w:rsidR="00FC649E" w:rsidRPr="00937662" w14:paraId="4A02C5F1" w14:textId="77777777" w:rsidTr="00646EBE">
        <w:tc>
          <w:tcPr>
            <w:tcW w:w="1795" w:type="dxa"/>
            <w:tcBorders>
              <w:top w:val="single" w:sz="4" w:space="0" w:color="auto"/>
              <w:left w:val="single" w:sz="4" w:space="0" w:color="auto"/>
              <w:bottom w:val="single" w:sz="4" w:space="0" w:color="auto"/>
              <w:right w:val="single" w:sz="4" w:space="0" w:color="auto"/>
            </w:tcBorders>
            <w:hideMark/>
          </w:tcPr>
          <w:p w14:paraId="363BF90E" w14:textId="77777777" w:rsidR="00FC649E" w:rsidRPr="00937662" w:rsidRDefault="00FC649E" w:rsidP="00646EBE">
            <w:pPr>
              <w:spacing w:before="120" w:line="276" w:lineRule="auto"/>
              <w:rPr>
                <w:rFonts w:cs="Times New Roman"/>
                <w:szCs w:val="24"/>
              </w:rPr>
            </w:pPr>
            <w:r w:rsidRPr="00937662">
              <w:t>Ministria përgjegjëse</w:t>
            </w:r>
          </w:p>
        </w:tc>
        <w:tc>
          <w:tcPr>
            <w:tcW w:w="8100" w:type="dxa"/>
            <w:tcBorders>
              <w:top w:val="single" w:sz="4" w:space="0" w:color="auto"/>
              <w:left w:val="single" w:sz="4" w:space="0" w:color="auto"/>
              <w:bottom w:val="single" w:sz="4" w:space="0" w:color="auto"/>
              <w:right w:val="single" w:sz="4" w:space="0" w:color="auto"/>
            </w:tcBorders>
            <w:hideMark/>
          </w:tcPr>
          <w:p w14:paraId="35CE64EE" w14:textId="77777777" w:rsidR="00FC649E" w:rsidRPr="00937662" w:rsidRDefault="00287CBA" w:rsidP="00646EBE">
            <w:pPr>
              <w:spacing w:before="120" w:line="276" w:lineRule="auto"/>
              <w:rPr>
                <w:rFonts w:cs="Times New Roman"/>
                <w:szCs w:val="24"/>
              </w:rPr>
            </w:pPr>
            <w:r w:rsidRPr="00937662">
              <w:t xml:space="preserve">Ministria e Industrisë, </w:t>
            </w:r>
            <w:proofErr w:type="spellStart"/>
            <w:r w:rsidRPr="00937662">
              <w:t>Ndërmarrësisë</w:t>
            </w:r>
            <w:proofErr w:type="spellEnd"/>
            <w:r w:rsidRPr="00937662">
              <w:t xml:space="preserve"> dhe Tregtisë</w:t>
            </w:r>
          </w:p>
        </w:tc>
      </w:tr>
      <w:tr w:rsidR="00FC649E" w:rsidRPr="00937662" w14:paraId="41DFC328" w14:textId="77777777" w:rsidTr="00646EBE">
        <w:tc>
          <w:tcPr>
            <w:tcW w:w="1795" w:type="dxa"/>
            <w:tcBorders>
              <w:top w:val="single" w:sz="4" w:space="0" w:color="auto"/>
              <w:left w:val="single" w:sz="4" w:space="0" w:color="auto"/>
              <w:bottom w:val="single" w:sz="4" w:space="0" w:color="auto"/>
              <w:right w:val="single" w:sz="4" w:space="0" w:color="auto"/>
            </w:tcBorders>
            <w:hideMark/>
          </w:tcPr>
          <w:p w14:paraId="67709354" w14:textId="77777777" w:rsidR="00FC649E" w:rsidRPr="00937662" w:rsidRDefault="00FC649E" w:rsidP="00646EBE">
            <w:pPr>
              <w:spacing w:before="120" w:line="276" w:lineRule="auto"/>
              <w:rPr>
                <w:rFonts w:cs="Times New Roman"/>
                <w:szCs w:val="24"/>
              </w:rPr>
            </w:pPr>
            <w:r w:rsidRPr="00937662">
              <w:t>Personi kontaktues</w:t>
            </w:r>
          </w:p>
        </w:tc>
        <w:tc>
          <w:tcPr>
            <w:tcW w:w="8100" w:type="dxa"/>
            <w:tcBorders>
              <w:top w:val="single" w:sz="4" w:space="0" w:color="auto"/>
              <w:left w:val="single" w:sz="4" w:space="0" w:color="auto"/>
              <w:bottom w:val="single" w:sz="4" w:space="0" w:color="auto"/>
              <w:right w:val="single" w:sz="4" w:space="0" w:color="auto"/>
            </w:tcBorders>
            <w:hideMark/>
          </w:tcPr>
          <w:p w14:paraId="64D0E31E" w14:textId="4F9E5CC1" w:rsidR="00FC649E" w:rsidRPr="00937662" w:rsidRDefault="008D5FFD" w:rsidP="00646EBE">
            <w:pPr>
              <w:spacing w:before="120" w:line="276" w:lineRule="auto"/>
              <w:rPr>
                <w:rFonts w:cs="Times New Roman"/>
                <w:szCs w:val="24"/>
              </w:rPr>
            </w:pPr>
            <w:r>
              <w:t>Artan Demolli                artan.demolli@rks-gov.net</w:t>
            </w:r>
          </w:p>
          <w:p w14:paraId="3CA5DB6D" w14:textId="77777777" w:rsidR="00FC649E" w:rsidRPr="00937662" w:rsidRDefault="00FC649E" w:rsidP="00646EBE">
            <w:pPr>
              <w:spacing w:before="120" w:line="276" w:lineRule="auto"/>
              <w:rPr>
                <w:rFonts w:cs="Times New Roman"/>
                <w:szCs w:val="24"/>
                <w:lang w:val="en-GB"/>
              </w:rPr>
            </w:pPr>
          </w:p>
        </w:tc>
      </w:tr>
      <w:tr w:rsidR="00FC649E" w:rsidRPr="00937662" w14:paraId="726B308F" w14:textId="77777777" w:rsidTr="00646EBE">
        <w:tc>
          <w:tcPr>
            <w:tcW w:w="1795" w:type="dxa"/>
            <w:tcBorders>
              <w:top w:val="single" w:sz="4" w:space="0" w:color="auto"/>
              <w:left w:val="single" w:sz="4" w:space="0" w:color="auto"/>
              <w:bottom w:val="single" w:sz="4" w:space="0" w:color="auto"/>
              <w:right w:val="single" w:sz="4" w:space="0" w:color="auto"/>
            </w:tcBorders>
            <w:hideMark/>
          </w:tcPr>
          <w:p w14:paraId="404EB836" w14:textId="3484397E" w:rsidR="00FC649E" w:rsidRPr="00937662" w:rsidRDefault="00FC649E" w:rsidP="008D5FFD">
            <w:pPr>
              <w:spacing w:before="120" w:line="276" w:lineRule="auto"/>
              <w:rPr>
                <w:rFonts w:cs="Times New Roman"/>
                <w:szCs w:val="24"/>
              </w:rPr>
            </w:pPr>
            <w:r w:rsidRPr="00937662">
              <w:t>P</w:t>
            </w:r>
            <w:r w:rsidR="008D5FFD">
              <w:t>KZH</w:t>
            </w:r>
          </w:p>
        </w:tc>
        <w:tc>
          <w:tcPr>
            <w:tcW w:w="8100" w:type="dxa"/>
            <w:tcBorders>
              <w:top w:val="single" w:sz="4" w:space="0" w:color="auto"/>
              <w:left w:val="single" w:sz="4" w:space="0" w:color="auto"/>
              <w:bottom w:val="single" w:sz="4" w:space="0" w:color="auto"/>
              <w:right w:val="single" w:sz="4" w:space="0" w:color="auto"/>
            </w:tcBorders>
            <w:hideMark/>
          </w:tcPr>
          <w:p w14:paraId="26FDD1ED" w14:textId="51D8B65E" w:rsidR="00FC649E" w:rsidRPr="00937662" w:rsidRDefault="007F7570" w:rsidP="00980FCF">
            <w:pPr>
              <w:spacing w:before="120" w:line="276" w:lineRule="auto"/>
              <w:rPr>
                <w:rFonts w:cs="Times New Roman"/>
                <w:szCs w:val="24"/>
              </w:rPr>
            </w:pPr>
            <w:r>
              <w:t xml:space="preserve">Plani </w:t>
            </w:r>
            <w:proofErr w:type="spellStart"/>
            <w:r>
              <w:t>Kombetar</w:t>
            </w:r>
            <w:proofErr w:type="spellEnd"/>
            <w:r>
              <w:t xml:space="preserve"> për Zhvillim 2024-2026, Masa Strategjike 1.5.3. Reduktimi i importeve duke rritur prezencën e produkteve vendore në tregun vendor</w:t>
            </w:r>
            <w:r w:rsidR="00FC649E" w:rsidRPr="00937662">
              <w:t xml:space="preserve"> </w:t>
            </w:r>
          </w:p>
        </w:tc>
      </w:tr>
      <w:tr w:rsidR="00FC649E" w:rsidRPr="00937662" w14:paraId="0499D20E" w14:textId="77777777" w:rsidTr="00646EBE">
        <w:trPr>
          <w:trHeight w:val="2108"/>
        </w:trPr>
        <w:tc>
          <w:tcPr>
            <w:tcW w:w="1795" w:type="dxa"/>
            <w:tcBorders>
              <w:top w:val="single" w:sz="4" w:space="0" w:color="auto"/>
              <w:left w:val="single" w:sz="4" w:space="0" w:color="auto"/>
              <w:bottom w:val="single" w:sz="4" w:space="0" w:color="auto"/>
              <w:right w:val="single" w:sz="4" w:space="0" w:color="auto"/>
            </w:tcBorders>
            <w:hideMark/>
          </w:tcPr>
          <w:p w14:paraId="1532D863" w14:textId="0CFE5B7B" w:rsidR="00FC649E" w:rsidRPr="00937662" w:rsidRDefault="00FC649E" w:rsidP="00646EBE">
            <w:pPr>
              <w:spacing w:before="120" w:line="276" w:lineRule="auto"/>
              <w:rPr>
                <w:rFonts w:cs="Times New Roman"/>
                <w:szCs w:val="24"/>
              </w:rPr>
            </w:pPr>
            <w:r w:rsidRPr="00937662">
              <w:t>Prioritet strategjik</w:t>
            </w:r>
          </w:p>
        </w:tc>
        <w:tc>
          <w:tcPr>
            <w:tcW w:w="8100" w:type="dxa"/>
            <w:tcBorders>
              <w:top w:val="single" w:sz="4" w:space="0" w:color="auto"/>
              <w:left w:val="single" w:sz="4" w:space="0" w:color="auto"/>
              <w:bottom w:val="single" w:sz="4" w:space="0" w:color="auto"/>
              <w:right w:val="single" w:sz="4" w:space="0" w:color="auto"/>
            </w:tcBorders>
            <w:hideMark/>
          </w:tcPr>
          <w:p w14:paraId="3A5622E8" w14:textId="77777777" w:rsidR="004B0CDC" w:rsidRPr="00CC6829" w:rsidRDefault="00287CBA" w:rsidP="00CC6829">
            <w:pPr>
              <w:spacing w:line="276" w:lineRule="auto"/>
              <w:jc w:val="both"/>
            </w:pPr>
            <w:r w:rsidRPr="00937662">
              <w:rPr>
                <w:b/>
              </w:rPr>
              <w:t xml:space="preserve">- </w:t>
            </w:r>
            <w:r w:rsidR="008B1A41" w:rsidRPr="00CC6829">
              <w:t xml:space="preserve">Programi Kombëtar për Zhvillim 2024-2026 </w:t>
            </w:r>
          </w:p>
          <w:p w14:paraId="4F251397" w14:textId="77777777" w:rsidR="004B0CDC" w:rsidRPr="00CC6829" w:rsidRDefault="008B1A41" w:rsidP="00CC6829">
            <w:pPr>
              <w:spacing w:line="276" w:lineRule="auto"/>
              <w:jc w:val="both"/>
            </w:pPr>
            <w:r w:rsidRPr="00CC6829">
              <w:t xml:space="preserve">Pika 1. Ekonomi digjitale, qarkore dhe konkurruese, </w:t>
            </w:r>
          </w:p>
          <w:p w14:paraId="6ED53687" w14:textId="5C6D5C26" w:rsidR="00FC649E" w:rsidRPr="00937662" w:rsidRDefault="008B1A41" w:rsidP="00CC6829">
            <w:pPr>
              <w:spacing w:line="276" w:lineRule="auto"/>
              <w:ind w:left="720"/>
              <w:jc w:val="both"/>
              <w:rPr>
                <w:rFonts w:cs="Times New Roman"/>
                <w:szCs w:val="24"/>
              </w:rPr>
            </w:pPr>
            <w:r w:rsidRPr="008B1A41">
              <w:t>1.3 Zhvillimi i industrisë drejt produkteve dhe shërbimeve me vlerë të shtuar</w:t>
            </w:r>
          </w:p>
        </w:tc>
      </w:tr>
    </w:tbl>
    <w:p w14:paraId="1C1C240D" w14:textId="77777777" w:rsidR="00FC649E" w:rsidRPr="00937662" w:rsidRDefault="00FC649E" w:rsidP="00FC649E">
      <w:pPr>
        <w:spacing w:line="276" w:lineRule="auto"/>
        <w:rPr>
          <w:rFonts w:cs="Times New Roman"/>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00"/>
      </w:tblGrid>
      <w:tr w:rsidR="00FC649E" w:rsidRPr="00937662" w14:paraId="537D0841" w14:textId="77777777" w:rsidTr="00646EBE">
        <w:tc>
          <w:tcPr>
            <w:tcW w:w="9895" w:type="dxa"/>
            <w:gridSpan w:val="2"/>
            <w:shd w:val="clear" w:color="auto" w:fill="9CC2E5" w:themeFill="accent1" w:themeFillTint="99"/>
          </w:tcPr>
          <w:p w14:paraId="7E9FCCB4" w14:textId="77777777" w:rsidR="00FC649E" w:rsidRPr="00937662" w:rsidRDefault="00FC649E" w:rsidP="00646EBE">
            <w:pPr>
              <w:spacing w:after="0" w:line="276" w:lineRule="auto"/>
              <w:rPr>
                <w:rFonts w:cs="Times New Roman"/>
                <w:b/>
                <w:szCs w:val="24"/>
              </w:rPr>
            </w:pPr>
            <w:r w:rsidRPr="00937662">
              <w:rPr>
                <w:b/>
              </w:rPr>
              <w:t>Vendimi</w:t>
            </w:r>
          </w:p>
        </w:tc>
      </w:tr>
      <w:tr w:rsidR="00FC649E" w:rsidRPr="00937662" w14:paraId="00864B82" w14:textId="77777777" w:rsidTr="00646EBE">
        <w:tc>
          <w:tcPr>
            <w:tcW w:w="1795" w:type="dxa"/>
            <w:shd w:val="clear" w:color="auto" w:fill="auto"/>
          </w:tcPr>
          <w:p w14:paraId="7EB290FB" w14:textId="77777777" w:rsidR="00FC649E" w:rsidRPr="00937662" w:rsidRDefault="00FC649E" w:rsidP="00646EBE">
            <w:pPr>
              <w:spacing w:after="0" w:line="276" w:lineRule="auto"/>
              <w:rPr>
                <w:rFonts w:cs="Times New Roman"/>
                <w:szCs w:val="24"/>
              </w:rPr>
            </w:pPr>
            <w:r w:rsidRPr="00937662">
              <w:t>Çështja kryesore</w:t>
            </w:r>
          </w:p>
        </w:tc>
        <w:tc>
          <w:tcPr>
            <w:tcW w:w="8100" w:type="dxa"/>
            <w:shd w:val="clear" w:color="auto" w:fill="auto"/>
          </w:tcPr>
          <w:p w14:paraId="78DAE4BE" w14:textId="0D03B856" w:rsidR="00FC649E" w:rsidRPr="00937662" w:rsidRDefault="00FC649E" w:rsidP="004B0CDC">
            <w:pPr>
              <w:autoSpaceDE w:val="0"/>
              <w:autoSpaceDN w:val="0"/>
              <w:adjustRightInd w:val="0"/>
              <w:spacing w:before="120" w:after="120" w:line="276" w:lineRule="auto"/>
              <w:jc w:val="both"/>
              <w:rPr>
                <w:rFonts w:cs="Times New Roman"/>
                <w:szCs w:val="24"/>
              </w:rPr>
            </w:pPr>
            <w:r w:rsidRPr="00937662">
              <w:t xml:space="preserve">Ligji </w:t>
            </w:r>
            <w:r w:rsidR="00E46A7D" w:rsidRPr="00937662">
              <w:t xml:space="preserve">në fuqi </w:t>
            </w:r>
            <w:r w:rsidRPr="00937662">
              <w:t xml:space="preserve">për </w:t>
            </w:r>
            <w:r w:rsidR="007C4EAA">
              <w:t xml:space="preserve">Masat </w:t>
            </w:r>
            <w:proofErr w:type="spellStart"/>
            <w:r w:rsidR="007C4EAA">
              <w:t>Antidampin</w:t>
            </w:r>
            <w:r w:rsidR="0081598E">
              <w:t>g</w:t>
            </w:r>
            <w:proofErr w:type="spellEnd"/>
            <w:r w:rsidR="0081598E">
              <w:t xml:space="preserve"> dhe Masat </w:t>
            </w:r>
            <w:proofErr w:type="spellStart"/>
            <w:r w:rsidR="0081598E">
              <w:t>Kundërbalancuese</w:t>
            </w:r>
            <w:proofErr w:type="spellEnd"/>
            <w:r w:rsidR="0081598E">
              <w:t xml:space="preserve"> nuk ka mundur </w:t>
            </w:r>
            <w:r w:rsidR="00E2780F">
              <w:t xml:space="preserve"> të</w:t>
            </w:r>
            <w:r w:rsidR="0081598E">
              <w:t xml:space="preserve"> gjej zbatim të plotë për shkak t</w:t>
            </w:r>
            <w:r w:rsidR="00E2780F">
              <w:t>ë</w:t>
            </w:r>
            <w:r w:rsidR="0081598E">
              <w:t xml:space="preserve"> zbra</w:t>
            </w:r>
            <w:r w:rsidR="00114593">
              <w:t>z</w:t>
            </w:r>
            <w:r w:rsidR="0081598E">
              <w:t>ëtirave juridike t</w:t>
            </w:r>
            <w:r w:rsidR="00114593">
              <w:t>ë</w:t>
            </w:r>
            <w:r w:rsidR="0081598E">
              <w:t xml:space="preserve"> identifikuara</w:t>
            </w:r>
            <w:r w:rsidR="00E2780F">
              <w:t>. Rrjedhimisht ka qenë vështirë që të aplikohen</w:t>
            </w:r>
            <w:r w:rsidR="0081598E">
              <w:t xml:space="preserve"> disa nene</w:t>
            </w:r>
            <w:r w:rsidR="00E2780F">
              <w:t xml:space="preserve"> të cilat nuk kanë qenë kuptimplotë</w:t>
            </w:r>
            <w:r w:rsidR="007C4EAA">
              <w:t xml:space="preserve"> ose kan</w:t>
            </w:r>
            <w:r w:rsidR="00E2780F">
              <w:t>ë</w:t>
            </w:r>
            <w:r w:rsidR="007C4EAA">
              <w:t xml:space="preserve"> shkaktuar dykuptim</w:t>
            </w:r>
            <w:r w:rsidR="00E2780F">
              <w:t>ë</w:t>
            </w:r>
            <w:r w:rsidR="007C4EAA">
              <w:t>si n</w:t>
            </w:r>
            <w:r w:rsidR="00E2780F">
              <w:t>ë</w:t>
            </w:r>
            <w:r w:rsidR="007C4EAA">
              <w:t xml:space="preserve"> disa dispozita t</w:t>
            </w:r>
            <w:r w:rsidR="00E2780F">
              <w:t>ë</w:t>
            </w:r>
            <w:r w:rsidR="007C4EAA">
              <w:t xml:space="preserve"> cilat jan</w:t>
            </w:r>
            <w:r w:rsidR="00E2780F">
              <w:t>ë</w:t>
            </w:r>
            <w:r w:rsidR="007C4EAA">
              <w:t xml:space="preserve"> thelb</w:t>
            </w:r>
            <w:r w:rsidR="00E2780F">
              <w:t>ë</w:t>
            </w:r>
            <w:r w:rsidR="007C4EAA">
              <w:t>sore p</w:t>
            </w:r>
            <w:r w:rsidR="00E2780F">
              <w:t>ë</w:t>
            </w:r>
            <w:r w:rsidR="007C4EAA">
              <w:t>r inicimin e hetimeve</w:t>
            </w:r>
            <w:r w:rsidR="00141C53">
              <w:t xml:space="preserve"> ndaj importeve t</w:t>
            </w:r>
            <w:r w:rsidR="00E2780F">
              <w:t>ë</w:t>
            </w:r>
            <w:r w:rsidR="00141C53">
              <w:t xml:space="preserve"> </w:t>
            </w:r>
            <w:proofErr w:type="spellStart"/>
            <w:r w:rsidR="00141C53">
              <w:t>dampuara</w:t>
            </w:r>
            <w:proofErr w:type="spellEnd"/>
            <w:r w:rsidR="0081598E">
              <w:t>,</w:t>
            </w:r>
            <w:r w:rsidR="00C3450F">
              <w:t xml:space="preserve"> por edhe p</w:t>
            </w:r>
            <w:r w:rsidR="00E2780F">
              <w:t>ë</w:t>
            </w:r>
            <w:r w:rsidR="00C3450F">
              <w:t>r vazhdimin e mas</w:t>
            </w:r>
            <w:r w:rsidR="00E2780F">
              <w:t>ë</w:t>
            </w:r>
            <w:r w:rsidR="00C3450F">
              <w:t>s mbrojt</w:t>
            </w:r>
            <w:r w:rsidR="00E2780F">
              <w:t>ë</w:t>
            </w:r>
            <w:r w:rsidR="00C3450F">
              <w:t>se</w:t>
            </w:r>
            <w:r w:rsidR="007C4EAA">
              <w:t xml:space="preserve">. </w:t>
            </w:r>
          </w:p>
        </w:tc>
      </w:tr>
      <w:tr w:rsidR="00FC649E" w:rsidRPr="00937662" w14:paraId="5814E488" w14:textId="77777777" w:rsidTr="00646EBE">
        <w:tc>
          <w:tcPr>
            <w:tcW w:w="1795" w:type="dxa"/>
            <w:vMerge w:val="restart"/>
            <w:shd w:val="clear" w:color="auto" w:fill="auto"/>
          </w:tcPr>
          <w:p w14:paraId="3B0B5EB8" w14:textId="77777777" w:rsidR="00FC649E" w:rsidRPr="00937662" w:rsidRDefault="00FC649E" w:rsidP="00646EBE">
            <w:pPr>
              <w:spacing w:after="0" w:line="276" w:lineRule="auto"/>
              <w:rPr>
                <w:rFonts w:cs="Times New Roman"/>
                <w:szCs w:val="24"/>
              </w:rPr>
            </w:pPr>
            <w:r w:rsidRPr="00937662">
              <w:t>Përmbledhje e konsultimeve</w:t>
            </w:r>
          </w:p>
        </w:tc>
        <w:tc>
          <w:tcPr>
            <w:tcW w:w="8100" w:type="dxa"/>
            <w:shd w:val="clear" w:color="auto" w:fill="auto"/>
          </w:tcPr>
          <w:p w14:paraId="3E3D7DEE" w14:textId="16E51A7D" w:rsidR="00FC649E" w:rsidRPr="00937662" w:rsidRDefault="00FC649E" w:rsidP="00A351E0">
            <w:pPr>
              <w:spacing w:before="120" w:after="120" w:line="276" w:lineRule="auto"/>
              <w:jc w:val="both"/>
              <w:rPr>
                <w:rFonts w:cs="Times New Roman"/>
                <w:szCs w:val="24"/>
              </w:rPr>
            </w:pPr>
            <w:r w:rsidRPr="00937662">
              <w:t>[</w:t>
            </w:r>
            <w:proofErr w:type="spellStart"/>
            <w:r w:rsidR="00A351E0">
              <w:t>Plotesohet</w:t>
            </w:r>
            <w:proofErr w:type="spellEnd"/>
            <w:r w:rsidR="00A351E0">
              <w:t xml:space="preserve"> pas konsultimeve ( konsultimit paraprak dhe atij publik).</w:t>
            </w:r>
          </w:p>
        </w:tc>
      </w:tr>
      <w:tr w:rsidR="00FC649E" w:rsidRPr="00937662" w14:paraId="18905E62" w14:textId="77777777" w:rsidTr="00646EBE">
        <w:tc>
          <w:tcPr>
            <w:tcW w:w="1795" w:type="dxa"/>
            <w:vMerge/>
            <w:shd w:val="clear" w:color="auto" w:fill="auto"/>
          </w:tcPr>
          <w:p w14:paraId="349023C7" w14:textId="77777777" w:rsidR="00FC649E" w:rsidRPr="00937662" w:rsidRDefault="00FC649E" w:rsidP="00646EBE">
            <w:pPr>
              <w:spacing w:after="0" w:line="276" w:lineRule="auto"/>
              <w:rPr>
                <w:rFonts w:cs="Times New Roman"/>
                <w:szCs w:val="24"/>
              </w:rPr>
            </w:pPr>
          </w:p>
        </w:tc>
        <w:tc>
          <w:tcPr>
            <w:tcW w:w="8100" w:type="dxa"/>
            <w:shd w:val="clear" w:color="auto" w:fill="auto"/>
          </w:tcPr>
          <w:p w14:paraId="18B95220" w14:textId="5582D2FD" w:rsidR="00FC649E" w:rsidRPr="00937662" w:rsidRDefault="00FC649E" w:rsidP="00646EBE">
            <w:pPr>
              <w:spacing w:before="120" w:after="120" w:line="276" w:lineRule="auto"/>
              <w:jc w:val="both"/>
              <w:rPr>
                <w:rFonts w:cs="Times New Roman"/>
                <w:szCs w:val="24"/>
              </w:rPr>
            </w:pPr>
          </w:p>
        </w:tc>
      </w:tr>
      <w:tr w:rsidR="00FC649E" w:rsidRPr="00937662" w14:paraId="1A035D66" w14:textId="77777777" w:rsidTr="00646EBE">
        <w:tc>
          <w:tcPr>
            <w:tcW w:w="1795" w:type="dxa"/>
            <w:shd w:val="clear" w:color="auto" w:fill="auto"/>
          </w:tcPr>
          <w:p w14:paraId="75819763" w14:textId="77777777" w:rsidR="00FC649E" w:rsidRPr="00937662" w:rsidRDefault="00FC649E" w:rsidP="00646EBE">
            <w:pPr>
              <w:spacing w:after="0" w:line="276" w:lineRule="auto"/>
              <w:rPr>
                <w:rFonts w:cs="Times New Roman"/>
                <w:szCs w:val="24"/>
              </w:rPr>
            </w:pPr>
            <w:r w:rsidRPr="00CC6829">
              <w:t>Opsioni i propozuar</w:t>
            </w:r>
          </w:p>
        </w:tc>
        <w:tc>
          <w:tcPr>
            <w:tcW w:w="8100" w:type="dxa"/>
            <w:shd w:val="clear" w:color="auto" w:fill="auto"/>
          </w:tcPr>
          <w:p w14:paraId="363B3F97" w14:textId="069CA716" w:rsidR="00FC649E" w:rsidRPr="004B0CDC" w:rsidRDefault="00AE4073" w:rsidP="004B0CDC">
            <w:pPr>
              <w:spacing w:after="120" w:line="276" w:lineRule="auto"/>
              <w:jc w:val="both"/>
              <w:rPr>
                <w:color w:val="000000" w:themeColor="text1"/>
              </w:rPr>
            </w:pPr>
            <w:r>
              <w:rPr>
                <w:color w:val="000000" w:themeColor="text1"/>
              </w:rPr>
              <w:t xml:space="preserve"> Ligj</w:t>
            </w:r>
            <w:r w:rsidR="00114593">
              <w:rPr>
                <w:color w:val="000000" w:themeColor="text1"/>
              </w:rPr>
              <w:t xml:space="preserve"> për Masat </w:t>
            </w:r>
            <w:proofErr w:type="spellStart"/>
            <w:r w:rsidR="00114593">
              <w:rPr>
                <w:color w:val="000000" w:themeColor="text1"/>
              </w:rPr>
              <w:t>Antidamping</w:t>
            </w:r>
            <w:proofErr w:type="spellEnd"/>
            <w:r w:rsidR="00114593">
              <w:rPr>
                <w:color w:val="000000" w:themeColor="text1"/>
              </w:rPr>
              <w:t xml:space="preserve"> dhe Masat </w:t>
            </w:r>
            <w:proofErr w:type="spellStart"/>
            <w:r w:rsidR="00114593">
              <w:rPr>
                <w:color w:val="000000" w:themeColor="text1"/>
              </w:rPr>
              <w:t>Kundërbalancuese</w:t>
            </w:r>
            <w:proofErr w:type="spellEnd"/>
            <w:r w:rsidR="00FC649E" w:rsidRPr="00937662">
              <w:t xml:space="preserve"> </w:t>
            </w:r>
          </w:p>
        </w:tc>
      </w:tr>
    </w:tbl>
    <w:p w14:paraId="0E22C7DB" w14:textId="77777777" w:rsidR="00FC649E" w:rsidRPr="00937662" w:rsidRDefault="00FC649E" w:rsidP="00FC649E">
      <w:pPr>
        <w:spacing w:line="276" w:lineRule="auto"/>
        <w:rPr>
          <w:rFonts w:cs="Times New Roman"/>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00"/>
      </w:tblGrid>
      <w:tr w:rsidR="00FC649E" w:rsidRPr="00937662" w14:paraId="7DF5DF43" w14:textId="77777777" w:rsidTr="00646EBE">
        <w:tc>
          <w:tcPr>
            <w:tcW w:w="9895" w:type="dxa"/>
            <w:gridSpan w:val="2"/>
            <w:shd w:val="clear" w:color="auto" w:fill="9CC2E5" w:themeFill="accent1" w:themeFillTint="99"/>
          </w:tcPr>
          <w:p w14:paraId="6759E011" w14:textId="77777777" w:rsidR="00FC649E" w:rsidRPr="00937662" w:rsidRDefault="00FC649E" w:rsidP="00646EBE">
            <w:pPr>
              <w:spacing w:after="0" w:line="276" w:lineRule="auto"/>
              <w:rPr>
                <w:rFonts w:cs="Times New Roman"/>
                <w:b/>
                <w:szCs w:val="24"/>
              </w:rPr>
            </w:pPr>
            <w:r w:rsidRPr="00937662">
              <w:rPr>
                <w:b/>
              </w:rPr>
              <w:t>Ndikimet kryesore të pritura</w:t>
            </w:r>
          </w:p>
        </w:tc>
      </w:tr>
      <w:tr w:rsidR="00FC649E" w:rsidRPr="00937662" w14:paraId="0B71ADE2" w14:textId="77777777" w:rsidTr="00646EBE">
        <w:tc>
          <w:tcPr>
            <w:tcW w:w="1795" w:type="dxa"/>
            <w:shd w:val="clear" w:color="auto" w:fill="auto"/>
          </w:tcPr>
          <w:p w14:paraId="5C830D8A" w14:textId="77777777" w:rsidR="00FC649E" w:rsidRPr="00937662" w:rsidRDefault="00FC649E" w:rsidP="00646EBE">
            <w:pPr>
              <w:spacing w:before="120" w:after="120" w:line="276" w:lineRule="auto"/>
              <w:rPr>
                <w:rFonts w:cs="Times New Roman"/>
                <w:szCs w:val="24"/>
              </w:rPr>
            </w:pPr>
            <w:r w:rsidRPr="00937662">
              <w:t>Ndikimet buxhetore</w:t>
            </w:r>
          </w:p>
        </w:tc>
        <w:tc>
          <w:tcPr>
            <w:tcW w:w="8100" w:type="dxa"/>
            <w:shd w:val="clear" w:color="auto" w:fill="auto"/>
          </w:tcPr>
          <w:p w14:paraId="2AAB5F3F" w14:textId="77777777" w:rsidR="00FC649E" w:rsidRPr="00937662" w:rsidRDefault="00FC649E" w:rsidP="00646EBE">
            <w:pPr>
              <w:spacing w:before="120" w:after="120" w:line="276" w:lineRule="auto"/>
              <w:rPr>
                <w:rFonts w:cs="Times New Roman"/>
                <w:szCs w:val="24"/>
              </w:rPr>
            </w:pPr>
            <w:r w:rsidRPr="00937662">
              <w:t xml:space="preserve">Nuk ka ndonjë ndikim shtesë në buxhetin e shtetit </w:t>
            </w:r>
          </w:p>
        </w:tc>
      </w:tr>
      <w:tr w:rsidR="00FC649E" w:rsidRPr="00937662" w14:paraId="46BC6A0F" w14:textId="77777777" w:rsidTr="00646EBE">
        <w:tc>
          <w:tcPr>
            <w:tcW w:w="1795" w:type="dxa"/>
            <w:shd w:val="clear" w:color="auto" w:fill="auto"/>
          </w:tcPr>
          <w:p w14:paraId="23288135" w14:textId="77777777" w:rsidR="00FC649E" w:rsidRPr="00937662" w:rsidRDefault="00FC649E" w:rsidP="00646EBE">
            <w:pPr>
              <w:spacing w:before="120" w:after="120" w:line="276" w:lineRule="auto"/>
              <w:rPr>
                <w:rFonts w:cs="Times New Roman"/>
                <w:szCs w:val="24"/>
              </w:rPr>
            </w:pPr>
            <w:r w:rsidRPr="00937662">
              <w:lastRenderedPageBreak/>
              <w:t>Ndikimet ekonomike</w:t>
            </w:r>
          </w:p>
        </w:tc>
        <w:tc>
          <w:tcPr>
            <w:tcW w:w="8100" w:type="dxa"/>
            <w:shd w:val="clear" w:color="auto" w:fill="auto"/>
          </w:tcPr>
          <w:p w14:paraId="63F19A61" w14:textId="1BDA0BC8" w:rsidR="00FC649E" w:rsidRPr="00937662" w:rsidRDefault="00FC649E" w:rsidP="00C3450F">
            <w:pPr>
              <w:spacing w:before="120" w:after="120" w:line="276" w:lineRule="auto"/>
              <w:contextualSpacing/>
              <w:jc w:val="both"/>
              <w:rPr>
                <w:rFonts w:cs="Times New Roman"/>
                <w:szCs w:val="24"/>
              </w:rPr>
            </w:pPr>
            <w:r w:rsidRPr="00937662">
              <w:t>Rritja e efikasitetit të mb</w:t>
            </w:r>
            <w:r w:rsidR="00C3450F">
              <w:t>rojtjes s</w:t>
            </w:r>
            <w:r w:rsidR="00E2780F">
              <w:t>ë</w:t>
            </w:r>
            <w:r w:rsidR="00C3450F">
              <w:t xml:space="preserve"> tregut vendor, rrjedhimisht prodhuesit tan</w:t>
            </w:r>
            <w:r w:rsidR="00E2780F">
              <w:t>ë</w:t>
            </w:r>
            <w:r w:rsidR="00C3450F">
              <w:t xml:space="preserve"> m</w:t>
            </w:r>
            <w:r w:rsidR="00E2780F">
              <w:t>ë</w:t>
            </w:r>
            <w:r w:rsidR="00C3450F">
              <w:t xml:space="preserve"> konkurrent n</w:t>
            </w:r>
            <w:r w:rsidR="00E2780F">
              <w:t>ë</w:t>
            </w:r>
            <w:r w:rsidR="00C3450F">
              <w:t xml:space="preserve"> tregun vendor dhe nd</w:t>
            </w:r>
            <w:r w:rsidR="00E2780F">
              <w:t>ë</w:t>
            </w:r>
            <w:r w:rsidR="00C3450F">
              <w:t>rkomb</w:t>
            </w:r>
            <w:r w:rsidR="00E2780F">
              <w:t>ë</w:t>
            </w:r>
            <w:r w:rsidR="00C3450F">
              <w:t xml:space="preserve">tar. </w:t>
            </w:r>
          </w:p>
        </w:tc>
      </w:tr>
      <w:tr w:rsidR="00FC649E" w:rsidRPr="00937662" w14:paraId="05463DC5" w14:textId="77777777" w:rsidTr="00646EBE">
        <w:tc>
          <w:tcPr>
            <w:tcW w:w="1795" w:type="dxa"/>
            <w:shd w:val="clear" w:color="auto" w:fill="auto"/>
          </w:tcPr>
          <w:p w14:paraId="453D8DBA" w14:textId="77777777" w:rsidR="00FC649E" w:rsidRPr="00937662" w:rsidRDefault="00FC649E" w:rsidP="00646EBE">
            <w:pPr>
              <w:spacing w:before="120" w:after="120" w:line="276" w:lineRule="auto"/>
              <w:rPr>
                <w:rFonts w:cs="Times New Roman"/>
                <w:szCs w:val="24"/>
              </w:rPr>
            </w:pPr>
            <w:r w:rsidRPr="00937662">
              <w:t>Ndikimet sociale</w:t>
            </w:r>
          </w:p>
        </w:tc>
        <w:tc>
          <w:tcPr>
            <w:tcW w:w="8100" w:type="dxa"/>
            <w:shd w:val="clear" w:color="auto" w:fill="auto"/>
          </w:tcPr>
          <w:p w14:paraId="6572EEF6" w14:textId="66965C37" w:rsidR="00FC649E" w:rsidRPr="00937662" w:rsidRDefault="003C0064" w:rsidP="001726E5">
            <w:pPr>
              <w:spacing w:before="120" w:after="120" w:line="276" w:lineRule="auto"/>
              <w:jc w:val="both"/>
              <w:rPr>
                <w:rFonts w:cs="Times New Roman"/>
                <w:szCs w:val="24"/>
              </w:rPr>
            </w:pPr>
            <w:r>
              <w:t>Konsumatorët tan</w:t>
            </w:r>
            <w:r w:rsidR="00E2780F">
              <w:t>ë</w:t>
            </w:r>
            <w:r>
              <w:t xml:space="preserve"> do t</w:t>
            </w:r>
            <w:r w:rsidR="00E2780F">
              <w:t>ë</w:t>
            </w:r>
            <w:r>
              <w:t xml:space="preserve"> ken</w:t>
            </w:r>
            <w:r w:rsidR="00E2780F">
              <w:t>ë</w:t>
            </w:r>
            <w:r>
              <w:t xml:space="preserve"> mund</w:t>
            </w:r>
            <w:r w:rsidR="00E2780F">
              <w:t>ë</w:t>
            </w:r>
            <w:r>
              <w:t>si t</w:t>
            </w:r>
            <w:r w:rsidR="00E2780F">
              <w:t>ë</w:t>
            </w:r>
            <w:r>
              <w:t xml:space="preserve"> p</w:t>
            </w:r>
            <w:r w:rsidR="00E2780F">
              <w:t>ë</w:t>
            </w:r>
            <w:r>
              <w:t xml:space="preserve">rzgjedhin </w:t>
            </w:r>
            <w:r w:rsidR="001726E5">
              <w:t xml:space="preserve">shumëllojshmëri </w:t>
            </w:r>
            <w:r>
              <w:t>t</w:t>
            </w:r>
            <w:r w:rsidR="00E2780F">
              <w:t>ë</w:t>
            </w:r>
            <w:r>
              <w:t xml:space="preserve"> produkteve duk</w:t>
            </w:r>
            <w:r w:rsidR="00E2780F">
              <w:t>ë</w:t>
            </w:r>
            <w:r>
              <w:t xml:space="preserve"> p</w:t>
            </w:r>
            <w:r w:rsidR="00E2780F">
              <w:t>ë</w:t>
            </w:r>
            <w:r>
              <w:t>rfshir</w:t>
            </w:r>
            <w:r w:rsidR="00E2780F">
              <w:t>ë</w:t>
            </w:r>
            <w:r>
              <w:t xml:space="preserve"> edhe ato vendore t</w:t>
            </w:r>
            <w:r w:rsidR="00E2780F">
              <w:t>ë</w:t>
            </w:r>
            <w:r>
              <w:t xml:space="preserve"> cilat do t</w:t>
            </w:r>
            <w:r w:rsidR="00E2780F">
              <w:t>ë</w:t>
            </w:r>
            <w:r>
              <w:t xml:space="preserve"> jen</w:t>
            </w:r>
            <w:r w:rsidR="00E2780F">
              <w:t>ë</w:t>
            </w:r>
            <w:r>
              <w:t xml:space="preserve"> m</w:t>
            </w:r>
            <w:r w:rsidR="00E2780F">
              <w:t>ë</w:t>
            </w:r>
            <w:r>
              <w:t xml:space="preserve"> prezentë n</w:t>
            </w:r>
            <w:r w:rsidR="00E2780F">
              <w:t>ë</w:t>
            </w:r>
            <w:r>
              <w:t xml:space="preserve"> tregun vendor</w:t>
            </w:r>
            <w:r w:rsidR="004B1B68">
              <w:t>, rritje e vendeve t</w:t>
            </w:r>
            <w:r w:rsidR="00114593">
              <w:t>ë</w:t>
            </w:r>
            <w:r w:rsidR="004B1B68">
              <w:t xml:space="preserve"> pun</w:t>
            </w:r>
            <w:r w:rsidR="00114593">
              <w:t>ë</w:t>
            </w:r>
            <w:r w:rsidR="004B1B68">
              <w:t>s.</w:t>
            </w:r>
          </w:p>
        </w:tc>
      </w:tr>
      <w:tr w:rsidR="00FC649E" w:rsidRPr="00937662" w14:paraId="5B6DC298" w14:textId="77777777" w:rsidTr="00646EBE">
        <w:tc>
          <w:tcPr>
            <w:tcW w:w="1795" w:type="dxa"/>
            <w:shd w:val="clear" w:color="auto" w:fill="auto"/>
          </w:tcPr>
          <w:p w14:paraId="72BC5F58" w14:textId="77777777" w:rsidR="00FC649E" w:rsidRPr="00937662" w:rsidRDefault="00FC649E" w:rsidP="00646EBE">
            <w:pPr>
              <w:spacing w:before="120" w:after="120" w:line="276" w:lineRule="auto"/>
              <w:rPr>
                <w:rFonts w:cs="Times New Roman"/>
                <w:szCs w:val="24"/>
              </w:rPr>
            </w:pPr>
            <w:r w:rsidRPr="00937662">
              <w:t>Ndikimet mjedisore</w:t>
            </w:r>
          </w:p>
        </w:tc>
        <w:tc>
          <w:tcPr>
            <w:tcW w:w="8100" w:type="dxa"/>
            <w:shd w:val="clear" w:color="auto" w:fill="auto"/>
          </w:tcPr>
          <w:p w14:paraId="3FA29653" w14:textId="77777777" w:rsidR="00FC649E" w:rsidRPr="00937662" w:rsidRDefault="00FC649E" w:rsidP="00646EBE">
            <w:pPr>
              <w:spacing w:before="120" w:after="120" w:line="276" w:lineRule="auto"/>
              <w:jc w:val="both"/>
              <w:rPr>
                <w:rFonts w:cs="Times New Roman"/>
                <w:szCs w:val="24"/>
              </w:rPr>
            </w:pPr>
            <w:r w:rsidRPr="00937662">
              <w:t>Ndikimi i vogël pozitiv</w:t>
            </w:r>
          </w:p>
        </w:tc>
      </w:tr>
      <w:tr w:rsidR="00FC649E" w:rsidRPr="00937662" w14:paraId="61EF347F" w14:textId="77777777" w:rsidTr="00646EBE">
        <w:tc>
          <w:tcPr>
            <w:tcW w:w="1795" w:type="dxa"/>
            <w:shd w:val="clear" w:color="auto" w:fill="auto"/>
          </w:tcPr>
          <w:p w14:paraId="1CCF3642" w14:textId="77777777" w:rsidR="00FC649E" w:rsidRPr="00937662" w:rsidRDefault="00FC649E" w:rsidP="00646EBE">
            <w:pPr>
              <w:spacing w:before="120" w:after="120" w:line="276" w:lineRule="auto"/>
              <w:rPr>
                <w:rFonts w:cs="Times New Roman"/>
                <w:szCs w:val="24"/>
              </w:rPr>
            </w:pPr>
            <w:r w:rsidRPr="00937662">
              <w:t>Barra administrative për kompanitë</w:t>
            </w:r>
          </w:p>
        </w:tc>
        <w:tc>
          <w:tcPr>
            <w:tcW w:w="8100" w:type="dxa"/>
            <w:shd w:val="clear" w:color="auto" w:fill="auto"/>
          </w:tcPr>
          <w:p w14:paraId="347404F7" w14:textId="7BBD0C18" w:rsidR="00FC649E" w:rsidRPr="00937662" w:rsidRDefault="00FC649E" w:rsidP="003C0064">
            <w:pPr>
              <w:spacing w:before="120" w:after="120" w:line="276" w:lineRule="auto"/>
              <w:jc w:val="both"/>
              <w:rPr>
                <w:rFonts w:cs="Times New Roman"/>
                <w:szCs w:val="24"/>
              </w:rPr>
            </w:pPr>
            <w:r w:rsidRPr="00937662">
              <w:t xml:space="preserve">Barra administrative </w:t>
            </w:r>
            <w:r w:rsidR="003C0064">
              <w:t>p</w:t>
            </w:r>
            <w:r w:rsidR="00E2780F">
              <w:t>ë</w:t>
            </w:r>
            <w:r w:rsidR="003C0064">
              <w:t>r kompanit</w:t>
            </w:r>
            <w:r w:rsidR="00E2780F">
              <w:t>ë</w:t>
            </w:r>
            <w:r w:rsidR="003C0064">
              <w:t xml:space="preserve"> nuk do t</w:t>
            </w:r>
            <w:r w:rsidR="00E2780F">
              <w:t>ë</w:t>
            </w:r>
            <w:r w:rsidR="003C0064">
              <w:t xml:space="preserve"> ndryshoj</w:t>
            </w:r>
            <w:r w:rsidR="00E2780F">
              <w:t>ë</w:t>
            </w:r>
            <w:r w:rsidRPr="00937662">
              <w:t xml:space="preserve"> </w:t>
            </w:r>
          </w:p>
        </w:tc>
      </w:tr>
      <w:tr w:rsidR="00FC649E" w:rsidRPr="00937662" w14:paraId="4B4054C7" w14:textId="77777777" w:rsidTr="00646EBE">
        <w:tc>
          <w:tcPr>
            <w:tcW w:w="1795" w:type="dxa"/>
            <w:shd w:val="clear" w:color="auto" w:fill="auto"/>
          </w:tcPr>
          <w:p w14:paraId="30BDD1E4" w14:textId="77777777" w:rsidR="00FC649E" w:rsidRPr="00937662" w:rsidRDefault="00FC649E" w:rsidP="00646EBE">
            <w:pPr>
              <w:spacing w:before="120" w:after="120" w:line="276" w:lineRule="auto"/>
              <w:rPr>
                <w:rFonts w:cs="Times New Roman"/>
                <w:szCs w:val="24"/>
              </w:rPr>
            </w:pPr>
            <w:r w:rsidRPr="00937662">
              <w:t>Ndikimi në NVM</w:t>
            </w:r>
          </w:p>
        </w:tc>
        <w:tc>
          <w:tcPr>
            <w:tcW w:w="8100" w:type="dxa"/>
            <w:shd w:val="clear" w:color="auto" w:fill="auto"/>
          </w:tcPr>
          <w:p w14:paraId="7D29E4ED" w14:textId="117F912D" w:rsidR="00FC649E" w:rsidRPr="00937662" w:rsidRDefault="00FC649E" w:rsidP="003C0064">
            <w:pPr>
              <w:spacing w:before="120" w:after="120" w:line="276" w:lineRule="auto"/>
              <w:jc w:val="both"/>
              <w:rPr>
                <w:rFonts w:cs="Times New Roman"/>
                <w:szCs w:val="24"/>
              </w:rPr>
            </w:pPr>
            <w:r w:rsidRPr="00937662">
              <w:t xml:space="preserve">Ndikimi pozitiv në NVM për shkak të organizimit </w:t>
            </w:r>
            <w:r w:rsidR="005E1839" w:rsidRPr="00937662">
              <w:t xml:space="preserve">të përmirësuar </w:t>
            </w:r>
            <w:r w:rsidRPr="00937662">
              <w:t xml:space="preserve">dhe </w:t>
            </w:r>
            <w:r w:rsidR="005E1839" w:rsidRPr="00937662">
              <w:t xml:space="preserve">fuqizimit </w:t>
            </w:r>
            <w:r w:rsidRPr="00937662">
              <w:t>të mb</w:t>
            </w:r>
            <w:r w:rsidR="003C0064">
              <w:t>rojtjes s</w:t>
            </w:r>
            <w:r w:rsidR="00E2780F">
              <w:t>ë</w:t>
            </w:r>
            <w:r w:rsidR="003C0064">
              <w:t xml:space="preserve"> tregut</w:t>
            </w:r>
          </w:p>
        </w:tc>
      </w:tr>
    </w:tbl>
    <w:p w14:paraId="7E0139B8" w14:textId="77777777" w:rsidR="00FC649E" w:rsidRPr="00937662" w:rsidRDefault="00FC649E" w:rsidP="00FC649E">
      <w:pPr>
        <w:spacing w:line="276" w:lineRule="auto"/>
        <w:rPr>
          <w:rFonts w:cs="Times New Roman"/>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00"/>
      </w:tblGrid>
      <w:tr w:rsidR="00FC649E" w:rsidRPr="00937662" w14:paraId="5BDF63B9" w14:textId="77777777" w:rsidTr="00646EBE">
        <w:tc>
          <w:tcPr>
            <w:tcW w:w="9895" w:type="dxa"/>
            <w:gridSpan w:val="2"/>
            <w:shd w:val="clear" w:color="auto" w:fill="9CC2E5" w:themeFill="accent1" w:themeFillTint="99"/>
          </w:tcPr>
          <w:p w14:paraId="10104979" w14:textId="77777777" w:rsidR="00FC649E" w:rsidRPr="00937662" w:rsidRDefault="00FC649E" w:rsidP="00646EBE">
            <w:pPr>
              <w:spacing w:after="0" w:line="276" w:lineRule="auto"/>
              <w:rPr>
                <w:rFonts w:cs="Times New Roman"/>
                <w:b/>
                <w:szCs w:val="24"/>
              </w:rPr>
            </w:pPr>
            <w:r w:rsidRPr="00937662">
              <w:rPr>
                <w:b/>
              </w:rPr>
              <w:t>Hapat e mëtejshëm</w:t>
            </w:r>
          </w:p>
        </w:tc>
      </w:tr>
      <w:tr w:rsidR="00FC649E" w:rsidRPr="00937662" w14:paraId="76A490E8" w14:textId="77777777" w:rsidTr="00646EBE">
        <w:tc>
          <w:tcPr>
            <w:tcW w:w="1795" w:type="dxa"/>
            <w:shd w:val="clear" w:color="auto" w:fill="auto"/>
          </w:tcPr>
          <w:p w14:paraId="240195F6" w14:textId="77777777" w:rsidR="00FC649E" w:rsidRPr="00937662" w:rsidRDefault="00FC649E" w:rsidP="00646EBE">
            <w:pPr>
              <w:spacing w:after="0" w:line="276" w:lineRule="auto"/>
              <w:rPr>
                <w:rFonts w:cs="Times New Roman"/>
                <w:szCs w:val="24"/>
              </w:rPr>
            </w:pPr>
            <w:r w:rsidRPr="00937662">
              <w:t>Afatshkurtër</w:t>
            </w:r>
          </w:p>
        </w:tc>
        <w:tc>
          <w:tcPr>
            <w:tcW w:w="8100" w:type="dxa"/>
            <w:shd w:val="clear" w:color="auto" w:fill="auto"/>
          </w:tcPr>
          <w:p w14:paraId="6BE2CB77" w14:textId="49135491" w:rsidR="00FC649E" w:rsidRPr="00937662" w:rsidRDefault="00AE2276" w:rsidP="00AE2276">
            <w:pPr>
              <w:pStyle w:val="ListParagraph"/>
              <w:numPr>
                <w:ilvl w:val="0"/>
                <w:numId w:val="3"/>
              </w:numPr>
              <w:spacing w:after="0" w:line="276" w:lineRule="auto"/>
              <w:jc w:val="both"/>
              <w:rPr>
                <w:rFonts w:cs="Times New Roman"/>
                <w:szCs w:val="24"/>
              </w:rPr>
            </w:pPr>
            <w:r>
              <w:t xml:space="preserve">Hartimi i </w:t>
            </w:r>
            <w:r w:rsidR="00160DC5">
              <w:t>l</w:t>
            </w:r>
            <w:r>
              <w:t>igjit p</w:t>
            </w:r>
            <w:r w:rsidR="00E2780F">
              <w:t>ë</w:t>
            </w:r>
            <w:r>
              <w:t xml:space="preserve">r </w:t>
            </w:r>
            <w:r w:rsidR="00160DC5">
              <w:t>m</w:t>
            </w:r>
            <w:r>
              <w:t xml:space="preserve">asat </w:t>
            </w:r>
            <w:proofErr w:type="spellStart"/>
            <w:r w:rsidR="00160DC5">
              <w:t>a</w:t>
            </w:r>
            <w:r>
              <w:t>ntidamping</w:t>
            </w:r>
            <w:proofErr w:type="spellEnd"/>
            <w:r>
              <w:t xml:space="preserve"> dhe </w:t>
            </w:r>
            <w:r w:rsidR="00160DC5">
              <w:t>m</w:t>
            </w:r>
            <w:r>
              <w:t xml:space="preserve">asat </w:t>
            </w:r>
            <w:proofErr w:type="spellStart"/>
            <w:r w:rsidR="00160DC5">
              <w:t>k</w:t>
            </w:r>
            <w:r>
              <w:t>und</w:t>
            </w:r>
            <w:r w:rsidR="00E2780F">
              <w:t>ë</w:t>
            </w:r>
            <w:r>
              <w:t>rbalancuese</w:t>
            </w:r>
            <w:proofErr w:type="spellEnd"/>
            <w:r w:rsidR="00FC649E" w:rsidRPr="00937662">
              <w:t xml:space="preserve"> </w:t>
            </w:r>
          </w:p>
        </w:tc>
      </w:tr>
      <w:tr w:rsidR="00FC649E" w:rsidRPr="00937662" w14:paraId="79FC4731" w14:textId="77777777" w:rsidTr="00646EBE">
        <w:tc>
          <w:tcPr>
            <w:tcW w:w="1795" w:type="dxa"/>
            <w:shd w:val="clear" w:color="auto" w:fill="auto"/>
          </w:tcPr>
          <w:p w14:paraId="22581E14" w14:textId="77777777" w:rsidR="00FC649E" w:rsidRPr="00937662" w:rsidRDefault="00FC649E" w:rsidP="00646EBE">
            <w:pPr>
              <w:spacing w:after="0" w:line="276" w:lineRule="auto"/>
              <w:rPr>
                <w:rFonts w:cs="Times New Roman"/>
                <w:szCs w:val="24"/>
              </w:rPr>
            </w:pPr>
            <w:r w:rsidRPr="00937662">
              <w:t>Afatmesëm</w:t>
            </w:r>
          </w:p>
        </w:tc>
        <w:tc>
          <w:tcPr>
            <w:tcW w:w="8100" w:type="dxa"/>
            <w:shd w:val="clear" w:color="auto" w:fill="auto"/>
          </w:tcPr>
          <w:p w14:paraId="49FD4832" w14:textId="293DFC22" w:rsidR="00FC649E" w:rsidRDefault="0090412E">
            <w:pPr>
              <w:pStyle w:val="ListParagraph"/>
              <w:numPr>
                <w:ilvl w:val="0"/>
                <w:numId w:val="2"/>
              </w:numPr>
              <w:spacing w:after="0" w:line="276" w:lineRule="auto"/>
              <w:jc w:val="both"/>
              <w:rPr>
                <w:rFonts w:cs="Times New Roman"/>
                <w:szCs w:val="24"/>
              </w:rPr>
            </w:pPr>
            <w:r>
              <w:rPr>
                <w:rFonts w:cs="Times New Roman"/>
                <w:szCs w:val="24"/>
              </w:rPr>
              <w:t xml:space="preserve">Harmonizimi i </w:t>
            </w:r>
            <w:r w:rsidR="00160DC5">
              <w:rPr>
                <w:rFonts w:cs="Times New Roman"/>
                <w:szCs w:val="24"/>
              </w:rPr>
              <w:t>l</w:t>
            </w:r>
            <w:r>
              <w:rPr>
                <w:rFonts w:cs="Times New Roman"/>
                <w:szCs w:val="24"/>
              </w:rPr>
              <w:t>igjit p</w:t>
            </w:r>
            <w:r w:rsidR="00E2780F">
              <w:rPr>
                <w:rFonts w:cs="Times New Roman"/>
                <w:szCs w:val="24"/>
              </w:rPr>
              <w:t>ë</w:t>
            </w:r>
            <w:r>
              <w:rPr>
                <w:rFonts w:cs="Times New Roman"/>
                <w:szCs w:val="24"/>
              </w:rPr>
              <w:t>r tregti me jashtë me ligjin p</w:t>
            </w:r>
            <w:r w:rsidR="009F2D1C">
              <w:rPr>
                <w:rFonts w:cs="Times New Roman"/>
                <w:szCs w:val="24"/>
              </w:rPr>
              <w:t>ë</w:t>
            </w:r>
            <w:r>
              <w:rPr>
                <w:rFonts w:cs="Times New Roman"/>
                <w:szCs w:val="24"/>
              </w:rPr>
              <w:t xml:space="preserve">r </w:t>
            </w:r>
            <w:r w:rsidR="00160DC5">
              <w:rPr>
                <w:rFonts w:cs="Times New Roman"/>
                <w:szCs w:val="24"/>
              </w:rPr>
              <w:t>m</w:t>
            </w:r>
            <w:r>
              <w:rPr>
                <w:rFonts w:cs="Times New Roman"/>
                <w:szCs w:val="24"/>
              </w:rPr>
              <w:t xml:space="preserve">asat </w:t>
            </w:r>
            <w:proofErr w:type="spellStart"/>
            <w:r w:rsidR="00160DC5">
              <w:rPr>
                <w:rFonts w:cs="Times New Roman"/>
                <w:szCs w:val="24"/>
              </w:rPr>
              <w:t>a</w:t>
            </w:r>
            <w:r>
              <w:rPr>
                <w:rFonts w:cs="Times New Roman"/>
                <w:szCs w:val="24"/>
              </w:rPr>
              <w:t>ntidamping</w:t>
            </w:r>
            <w:proofErr w:type="spellEnd"/>
            <w:r>
              <w:rPr>
                <w:rFonts w:cs="Times New Roman"/>
                <w:szCs w:val="24"/>
              </w:rPr>
              <w:t xml:space="preserve"> dhe </w:t>
            </w:r>
            <w:r w:rsidR="00160DC5">
              <w:rPr>
                <w:rFonts w:cs="Times New Roman"/>
                <w:szCs w:val="24"/>
              </w:rPr>
              <w:t>m</w:t>
            </w:r>
            <w:r>
              <w:rPr>
                <w:rFonts w:cs="Times New Roman"/>
                <w:szCs w:val="24"/>
              </w:rPr>
              <w:t xml:space="preserve">asat </w:t>
            </w:r>
            <w:proofErr w:type="spellStart"/>
            <w:r w:rsidR="00160DC5">
              <w:rPr>
                <w:rFonts w:cs="Times New Roman"/>
                <w:szCs w:val="24"/>
              </w:rPr>
              <w:t>k</w:t>
            </w:r>
            <w:r>
              <w:rPr>
                <w:rFonts w:cs="Times New Roman"/>
                <w:szCs w:val="24"/>
              </w:rPr>
              <w:t>und</w:t>
            </w:r>
            <w:r w:rsidR="00E2780F">
              <w:rPr>
                <w:rFonts w:cs="Times New Roman"/>
                <w:szCs w:val="24"/>
              </w:rPr>
              <w:t>ë</w:t>
            </w:r>
            <w:r>
              <w:rPr>
                <w:rFonts w:cs="Times New Roman"/>
                <w:szCs w:val="24"/>
              </w:rPr>
              <w:t>rbalancuese</w:t>
            </w:r>
            <w:proofErr w:type="spellEnd"/>
            <w:r w:rsidR="00190C9B">
              <w:rPr>
                <w:rFonts w:cs="Times New Roman"/>
                <w:szCs w:val="24"/>
              </w:rPr>
              <w:t>.</w:t>
            </w:r>
          </w:p>
          <w:p w14:paraId="5BB2EB5D" w14:textId="34E375BC" w:rsidR="00190C9B" w:rsidRPr="00937662" w:rsidRDefault="00190C9B">
            <w:pPr>
              <w:pStyle w:val="ListParagraph"/>
              <w:numPr>
                <w:ilvl w:val="0"/>
                <w:numId w:val="2"/>
              </w:numPr>
              <w:spacing w:after="0" w:line="276" w:lineRule="auto"/>
              <w:jc w:val="both"/>
              <w:rPr>
                <w:rFonts w:cs="Times New Roman"/>
                <w:szCs w:val="24"/>
              </w:rPr>
            </w:pPr>
            <w:r>
              <w:rPr>
                <w:rFonts w:cs="Times New Roman"/>
                <w:szCs w:val="24"/>
              </w:rPr>
              <w:t>Zbatimi i ligjit, ngritja dhe fuqizimi i kapaciteteve.</w:t>
            </w:r>
          </w:p>
        </w:tc>
      </w:tr>
    </w:tbl>
    <w:p w14:paraId="755C9931" w14:textId="59DB2DAA" w:rsidR="00FC649E" w:rsidRPr="00937662" w:rsidRDefault="00FC649E" w:rsidP="009839BA">
      <w:pPr>
        <w:pStyle w:val="Heading1"/>
        <w:jc w:val="center"/>
        <w:rPr>
          <w:rFonts w:ascii="Times New Roman" w:hAnsi="Times New Roman" w:cs="Times New Roman"/>
          <w:b/>
          <w:bCs/>
          <w:sz w:val="28"/>
          <w:szCs w:val="28"/>
        </w:rPr>
      </w:pPr>
      <w:r w:rsidRPr="00937662">
        <w:rPr>
          <w:rFonts w:ascii="Times New Roman" w:hAnsi="Times New Roman" w:cs="Times New Roman"/>
          <w:b/>
        </w:rPr>
        <w:br w:type="page"/>
      </w:r>
      <w:bookmarkStart w:id="2" w:name="_Toc69198216"/>
      <w:r w:rsidRPr="00937662">
        <w:rPr>
          <w:rFonts w:ascii="Times New Roman" w:hAnsi="Times New Roman" w:cs="Times New Roman"/>
          <w:b/>
        </w:rPr>
        <w:lastRenderedPageBreak/>
        <w:t>Hyrje</w:t>
      </w:r>
      <w:bookmarkEnd w:id="2"/>
    </w:p>
    <w:p w14:paraId="44AD9A12" w14:textId="77777777" w:rsidR="009839BA" w:rsidRPr="00937662" w:rsidRDefault="009839BA" w:rsidP="009839BA"/>
    <w:p w14:paraId="53F57D70" w14:textId="2BED2DDC" w:rsidR="00706AD7" w:rsidRDefault="00706AD7" w:rsidP="00706AD7">
      <w:pPr>
        <w:spacing w:line="276" w:lineRule="auto"/>
        <w:jc w:val="both"/>
      </w:pPr>
      <w:r>
        <w:t>Tregtia është element thelbësor në ndjekjen e rritjes ekonomike t</w:t>
      </w:r>
      <w:r w:rsidR="00E2780F">
        <w:t>ë</w:t>
      </w:r>
      <w:r>
        <w:t xml:space="preserve"> nj</w:t>
      </w:r>
      <w:r w:rsidR="00E2780F">
        <w:t>ë</w:t>
      </w:r>
      <w:r>
        <w:t xml:space="preserve"> vendi. Tregtia e lirë është një faktor kyç për të </w:t>
      </w:r>
      <w:r w:rsidR="00251C22">
        <w:t xml:space="preserve">arritur </w:t>
      </w:r>
      <w:r>
        <w:t>mundësitë që ofron ekonomia globale. Megjithatë, në mënyrë që të gjitha palët e interesit të jenë në gjendje të përfitojnë nga këto mundësi, tregtia</w:t>
      </w:r>
      <w:r w:rsidR="009C0CF1">
        <w:t xml:space="preserve"> e lirë</w:t>
      </w:r>
      <w:r>
        <w:t xml:space="preserve"> duhet të bazohet në kushte të drejta,</w:t>
      </w:r>
      <w:r w:rsidR="00223AB4">
        <w:t xml:space="preserve"> në </w:t>
      </w:r>
      <w:r w:rsidR="00904C32">
        <w:t>një</w:t>
      </w:r>
      <w:r w:rsidR="00223AB4">
        <w:t xml:space="preserve"> ambient që mundëson aplikimin e rregullave të njëjta për të gjithë.</w:t>
      </w:r>
      <w:r>
        <w:t xml:space="preserve"> </w:t>
      </w:r>
    </w:p>
    <w:p w14:paraId="720ABB85" w14:textId="09527FB8" w:rsidR="00706AD7" w:rsidRDefault="00706AD7" w:rsidP="00706AD7">
      <w:pPr>
        <w:spacing w:line="276" w:lineRule="auto"/>
        <w:jc w:val="both"/>
      </w:pPr>
      <w:r>
        <w:t>Në rastet kur kushtet e tregtisë së ndershme janë komprometuar nga praktikat e padrejta të tregtisë p</w:t>
      </w:r>
      <w:r w:rsidR="00E2780F">
        <w:t>ë</w:t>
      </w:r>
      <w:r>
        <w:t xml:space="preserve">rmes </w:t>
      </w:r>
      <w:proofErr w:type="spellStart"/>
      <w:r>
        <w:t>dampingut</w:t>
      </w:r>
      <w:proofErr w:type="spellEnd"/>
      <w:r>
        <w:t xml:space="preserve"> ose subvencionimit</w:t>
      </w:r>
      <w:r w:rsidR="009C0CF1">
        <w:t xml:space="preserve"> nga vendet eksportuese</w:t>
      </w:r>
      <w:r>
        <w:t>, at</w:t>
      </w:r>
      <w:r w:rsidR="00E2780F">
        <w:t>ë</w:t>
      </w:r>
      <w:r>
        <w:t>her</w:t>
      </w:r>
      <w:r w:rsidR="00E2780F">
        <w:t>ë</w:t>
      </w:r>
      <w:r>
        <w:t xml:space="preserve"> mund t</w:t>
      </w:r>
      <w:r w:rsidR="00E2780F">
        <w:t>ë</w:t>
      </w:r>
      <w:r>
        <w:t xml:space="preserve"> p</w:t>
      </w:r>
      <w:r w:rsidR="00E2780F">
        <w:t>ë</w:t>
      </w:r>
      <w:r w:rsidR="00223AB4">
        <w:t xml:space="preserve">rdoren instrumentet </w:t>
      </w:r>
      <w:r>
        <w:t>mbrojt</w:t>
      </w:r>
      <w:r w:rsidR="00E2780F">
        <w:t>ë</w:t>
      </w:r>
      <w:r>
        <w:t>se t</w:t>
      </w:r>
      <w:r w:rsidR="00E2780F">
        <w:t>ë</w:t>
      </w:r>
      <w:r>
        <w:t xml:space="preserve"> tregtis</w:t>
      </w:r>
      <w:r w:rsidR="00E2780F">
        <w:t>ë</w:t>
      </w:r>
      <w:r>
        <w:t>, në mënyr</w:t>
      </w:r>
      <w:r w:rsidR="00E2780F">
        <w:t>ë</w:t>
      </w:r>
      <w:r>
        <w:t xml:space="preserve"> q</w:t>
      </w:r>
      <w:r w:rsidR="00E2780F">
        <w:t>ë</w:t>
      </w:r>
      <w:r>
        <w:t xml:space="preserve"> t</w:t>
      </w:r>
      <w:r w:rsidR="00E2780F">
        <w:t>ë</w:t>
      </w:r>
      <w:r>
        <w:t xml:space="preserve"> rivendoset një </w:t>
      </w:r>
      <w:r w:rsidR="00223AB4">
        <w:t>barazi n</w:t>
      </w:r>
      <w:r w:rsidR="00BE60D9">
        <w:t>ë</w:t>
      </w:r>
      <w:r w:rsidR="00223AB4">
        <w:t xml:space="preserve"> mesin e </w:t>
      </w:r>
      <w:proofErr w:type="spellStart"/>
      <w:r w:rsidR="00223AB4">
        <w:t>akter</w:t>
      </w:r>
      <w:r w:rsidR="00BE60D9">
        <w:t>ë</w:t>
      </w:r>
      <w:r w:rsidR="00223AB4">
        <w:t>ve</w:t>
      </w:r>
      <w:proofErr w:type="spellEnd"/>
      <w:r>
        <w:t xml:space="preserve">. </w:t>
      </w:r>
    </w:p>
    <w:p w14:paraId="5D1DD7DB" w14:textId="13E00FAF" w:rsidR="00706AD7" w:rsidRDefault="00706AD7" w:rsidP="00706AD7">
      <w:pPr>
        <w:spacing w:line="276" w:lineRule="auto"/>
        <w:jc w:val="both"/>
      </w:pPr>
      <w:r w:rsidRPr="00706AD7">
        <w:t>Organizata Botëror</w:t>
      </w:r>
      <w:r>
        <w:t>e e Tregtisë (</w:t>
      </w:r>
      <w:r w:rsidRPr="00706AD7">
        <w:t>OBT) ofron k</w:t>
      </w:r>
      <w:r>
        <w:t>orniz</w:t>
      </w:r>
      <w:r w:rsidR="00E2780F">
        <w:t>ë</w:t>
      </w:r>
      <w:r>
        <w:t xml:space="preserve">n </w:t>
      </w:r>
      <w:r w:rsidRPr="00706AD7">
        <w:t>ligjor</w:t>
      </w:r>
      <w:r>
        <w:t>e</w:t>
      </w:r>
      <w:r w:rsidRPr="00706AD7">
        <w:t xml:space="preserve"> për </w:t>
      </w:r>
      <w:r>
        <w:t>Instrumentet Mbrojt</w:t>
      </w:r>
      <w:r w:rsidR="00E2780F">
        <w:t>ë</w:t>
      </w:r>
      <w:r>
        <w:t>se n</w:t>
      </w:r>
      <w:r w:rsidR="00E2780F">
        <w:t>ë</w:t>
      </w:r>
      <w:r>
        <w:t xml:space="preserve"> Tregti</w:t>
      </w:r>
      <w:r w:rsidRPr="00706AD7">
        <w:t>. Në veçanti, rregulla</w:t>
      </w:r>
      <w:r>
        <w:t>t</w:t>
      </w:r>
      <w:r w:rsidRPr="00706AD7">
        <w:t xml:space="preserve"> specifike</w:t>
      </w:r>
      <w:r>
        <w:t xml:space="preserve"> jan</w:t>
      </w:r>
      <w:r w:rsidR="00E2780F">
        <w:t>ë</w:t>
      </w:r>
      <w:r>
        <w:t xml:space="preserve"> t</w:t>
      </w:r>
      <w:r w:rsidR="00E2780F">
        <w:t>ë</w:t>
      </w:r>
      <w:r>
        <w:t xml:space="preserve"> </w:t>
      </w:r>
      <w:r w:rsidRPr="00706AD7">
        <w:t>përcakt</w:t>
      </w:r>
      <w:r>
        <w:t>uara</w:t>
      </w:r>
      <w:r w:rsidRPr="00706AD7">
        <w:t xml:space="preserve"> në</w:t>
      </w:r>
      <w:r>
        <w:t xml:space="preserve"> Marrëveshjen e OBT-së kundër </w:t>
      </w:r>
      <w:proofErr w:type="spellStart"/>
      <w:r>
        <w:t>da</w:t>
      </w:r>
      <w:r w:rsidRPr="00706AD7">
        <w:t>mpingut</w:t>
      </w:r>
      <w:proofErr w:type="spellEnd"/>
      <w:r w:rsidRPr="00706AD7">
        <w:t xml:space="preserve"> dhe në Marrëveshjen e OBT-së për subvencionet dhe masat </w:t>
      </w:r>
      <w:proofErr w:type="spellStart"/>
      <w:r w:rsidRPr="00706AD7">
        <w:t>kundërbalancuese</w:t>
      </w:r>
      <w:proofErr w:type="spellEnd"/>
      <w:r w:rsidRPr="00706AD7">
        <w:t xml:space="preserve">. Sipas rregullave të OBT-së, masat </w:t>
      </w:r>
      <w:proofErr w:type="spellStart"/>
      <w:r w:rsidRPr="00706AD7">
        <w:t>antid</w:t>
      </w:r>
      <w:r>
        <w:t>a</w:t>
      </w:r>
      <w:r w:rsidRPr="00706AD7">
        <w:t>mping</w:t>
      </w:r>
      <w:proofErr w:type="spellEnd"/>
      <w:r w:rsidRPr="00706AD7">
        <w:t xml:space="preserve"> ose </w:t>
      </w:r>
      <w:r w:rsidR="000C3D34">
        <w:t>kund</w:t>
      </w:r>
      <w:r w:rsidR="00E2780F">
        <w:t>ë</w:t>
      </w:r>
      <w:r w:rsidR="000C3D34">
        <w:t xml:space="preserve">r </w:t>
      </w:r>
      <w:r w:rsidRPr="00706AD7">
        <w:t>subvencionimi</w:t>
      </w:r>
      <w:r w:rsidR="007A10EE">
        <w:t>t</w:t>
      </w:r>
      <w:r w:rsidRPr="00706AD7">
        <w:t xml:space="preserve">, </w:t>
      </w:r>
      <w:r w:rsidR="000C3D34" w:rsidRPr="00706AD7">
        <w:t xml:space="preserve">mund të vendosen </w:t>
      </w:r>
      <w:r w:rsidR="000C3D34">
        <w:t>kryesi</w:t>
      </w:r>
      <w:r w:rsidRPr="00706AD7">
        <w:t xml:space="preserve">sht në formën e tarifave shtesë, nëse një hetim </w:t>
      </w:r>
      <w:r w:rsidR="007A10EE">
        <w:t>vërteton</w:t>
      </w:r>
      <w:r w:rsidRPr="00706AD7">
        <w:t xml:space="preserve"> se këto produkte janë</w:t>
      </w:r>
      <w:r w:rsidR="000C3D34">
        <w:t xml:space="preserve"> t</w:t>
      </w:r>
      <w:r w:rsidR="00E2780F">
        <w:t>ë</w:t>
      </w:r>
      <w:r w:rsidR="000C3D34">
        <w:t xml:space="preserve"> </w:t>
      </w:r>
      <w:proofErr w:type="spellStart"/>
      <w:r w:rsidR="000C3D34">
        <w:t>dampuara</w:t>
      </w:r>
      <w:proofErr w:type="spellEnd"/>
      <w:r w:rsidRPr="00706AD7">
        <w:t>/subvencion</w:t>
      </w:r>
      <w:r w:rsidR="000C3D34">
        <w:t xml:space="preserve">uara </w:t>
      </w:r>
      <w:r w:rsidR="007A10EE">
        <w:t>dhe për pasojë mu</w:t>
      </w:r>
      <w:r w:rsidR="000C3D34">
        <w:t>nd t</w:t>
      </w:r>
      <w:r w:rsidR="00E2780F">
        <w:t>ë</w:t>
      </w:r>
      <w:r w:rsidR="000C3D34">
        <w:t xml:space="preserve"> </w:t>
      </w:r>
      <w:r w:rsidRPr="00706AD7">
        <w:t>shkakt</w:t>
      </w:r>
      <w:r w:rsidR="000C3D34">
        <w:t>ojn</w:t>
      </w:r>
      <w:r w:rsidR="00E2780F">
        <w:t>ë</w:t>
      </w:r>
      <w:r w:rsidRPr="00706AD7">
        <w:t xml:space="preserve"> dëme në industrinë vend</w:t>
      </w:r>
      <w:r w:rsidR="000C3D34">
        <w:t>ore</w:t>
      </w:r>
      <w:r w:rsidRPr="00706AD7">
        <w:t xml:space="preserve">. </w:t>
      </w:r>
    </w:p>
    <w:p w14:paraId="2FEC087D" w14:textId="7FBFAB06" w:rsidR="00360C38" w:rsidRPr="00937662" w:rsidRDefault="00360C38" w:rsidP="00706AD7">
      <w:pPr>
        <w:spacing w:line="276" w:lineRule="auto"/>
        <w:jc w:val="both"/>
      </w:pPr>
      <w:r w:rsidRPr="00937662">
        <w:t xml:space="preserve">Arsyeja kryesore për </w:t>
      </w:r>
      <w:r w:rsidR="00864D56">
        <w:t>hartimin</w:t>
      </w:r>
      <w:r w:rsidRPr="00937662">
        <w:t xml:space="preserve"> e këtij ligji është sigurimi i një niveli të lartë të mbrojtjes së </w:t>
      </w:r>
      <w:r w:rsidR="00864D56">
        <w:t xml:space="preserve">tregut </w:t>
      </w:r>
      <w:r w:rsidRPr="00937662">
        <w:t xml:space="preserve">dhe </w:t>
      </w:r>
      <w:r w:rsidR="00181665">
        <w:t>mb</w:t>
      </w:r>
      <w:r w:rsidR="00E2780F">
        <w:t>ë</w:t>
      </w:r>
      <w:r w:rsidR="00181665">
        <w:t>shtetje</w:t>
      </w:r>
      <w:r w:rsidR="00864D56">
        <w:t xml:space="preserve"> </w:t>
      </w:r>
      <w:r w:rsidR="009268BC">
        <w:t xml:space="preserve">industrisë </w:t>
      </w:r>
      <w:r w:rsidR="00864D56">
        <w:t>vendor</w:t>
      </w:r>
      <w:r w:rsidR="009268BC">
        <w:t>e</w:t>
      </w:r>
      <w:r w:rsidRPr="00937662">
        <w:t>. Ky ligj</w:t>
      </w:r>
      <w:r w:rsidR="008F32D1">
        <w:t xml:space="preserve"> do të krijoj nj</w:t>
      </w:r>
      <w:r w:rsidR="00E2780F">
        <w:t>ë</w:t>
      </w:r>
      <w:r w:rsidR="008F32D1">
        <w:t xml:space="preserve"> ekuilib</w:t>
      </w:r>
      <w:r w:rsidR="00E2780F">
        <w:t>ë</w:t>
      </w:r>
      <w:r w:rsidR="008F32D1">
        <w:t>r t</w:t>
      </w:r>
      <w:r w:rsidR="00E2780F">
        <w:t>ë</w:t>
      </w:r>
      <w:r w:rsidR="008F32D1">
        <w:t xml:space="preserve"> shtuar </w:t>
      </w:r>
      <w:r w:rsidRPr="00937662">
        <w:t xml:space="preserve">në treg </w:t>
      </w:r>
      <w:r w:rsidR="008F32D1">
        <w:t>p</w:t>
      </w:r>
      <w:r w:rsidR="00E2780F">
        <w:t>ë</w:t>
      </w:r>
      <w:r w:rsidR="008F32D1">
        <w:t>r sa i p</w:t>
      </w:r>
      <w:r w:rsidR="00E2780F">
        <w:t>ë</w:t>
      </w:r>
      <w:r w:rsidR="008F32D1">
        <w:t xml:space="preserve">rket </w:t>
      </w:r>
      <w:r w:rsidRPr="00937662">
        <w:t xml:space="preserve">produkteve </w:t>
      </w:r>
      <w:r w:rsidR="008F32D1">
        <w:t>t</w:t>
      </w:r>
      <w:r w:rsidR="00E2780F">
        <w:t>ë</w:t>
      </w:r>
      <w:r w:rsidR="008F32D1">
        <w:t xml:space="preserve"> importuara dhe produkteve vendore duke</w:t>
      </w:r>
      <w:r w:rsidR="00181665">
        <w:t xml:space="preserve"> iu</w:t>
      </w:r>
      <w:r w:rsidR="008F32D1">
        <w:t xml:space="preserve"> mund</w:t>
      </w:r>
      <w:r w:rsidR="00E2780F">
        <w:t>ë</w:t>
      </w:r>
      <w:r w:rsidR="008F32D1">
        <w:t>suar prodhuesve tan</w:t>
      </w:r>
      <w:r w:rsidR="00E2780F">
        <w:t>ë</w:t>
      </w:r>
      <w:r w:rsidR="008F32D1">
        <w:t xml:space="preserve"> q</w:t>
      </w:r>
      <w:r w:rsidR="00E2780F">
        <w:t>ë</w:t>
      </w:r>
      <w:r w:rsidR="008F32D1">
        <w:t xml:space="preserve"> t</w:t>
      </w:r>
      <w:r w:rsidR="00E2780F">
        <w:t>ë</w:t>
      </w:r>
      <w:r w:rsidR="008F32D1">
        <w:t xml:space="preserve"> plasojn</w:t>
      </w:r>
      <w:r w:rsidR="00E2780F">
        <w:t>ë</w:t>
      </w:r>
      <w:r w:rsidR="008F32D1">
        <w:t xml:space="preserve"> produktet e tyre n</w:t>
      </w:r>
      <w:r w:rsidR="00E2780F">
        <w:t>ë</w:t>
      </w:r>
      <w:r w:rsidR="008F32D1">
        <w:t xml:space="preserve"> nj</w:t>
      </w:r>
      <w:r w:rsidR="00E2780F">
        <w:t>ë</w:t>
      </w:r>
      <w:r w:rsidR="008F32D1">
        <w:t xml:space="preserve"> treg t</w:t>
      </w:r>
      <w:r w:rsidR="00E2780F">
        <w:t>ë</w:t>
      </w:r>
      <w:r w:rsidR="008F32D1">
        <w:t xml:space="preserve"> drejt</w:t>
      </w:r>
      <w:r w:rsidR="00E2780F">
        <w:t>ë</w:t>
      </w:r>
      <w:r w:rsidR="008F32D1">
        <w:t xml:space="preserve"> dhe </w:t>
      </w:r>
      <w:r w:rsidR="009268BC">
        <w:t>t</w:t>
      </w:r>
      <w:r w:rsidR="00E2780F">
        <w:t>ë</w:t>
      </w:r>
      <w:r w:rsidR="009268BC">
        <w:t xml:space="preserve"> paansh</w:t>
      </w:r>
      <w:r w:rsidR="00E2780F">
        <w:t>ë</w:t>
      </w:r>
      <w:r w:rsidR="009268BC">
        <w:t xml:space="preserve">m me </w:t>
      </w:r>
      <w:proofErr w:type="spellStart"/>
      <w:r w:rsidR="009268BC">
        <w:t>ç’rast</w:t>
      </w:r>
      <w:proofErr w:type="spellEnd"/>
      <w:r w:rsidR="009268BC">
        <w:t xml:space="preserve"> do t</w:t>
      </w:r>
      <w:r w:rsidR="00E2780F">
        <w:t>ë</w:t>
      </w:r>
      <w:r w:rsidR="009268BC">
        <w:t xml:space="preserve"> krijohet ambient i favorsh</w:t>
      </w:r>
      <w:r w:rsidR="00E2780F">
        <w:t>ë</w:t>
      </w:r>
      <w:r w:rsidR="00223AB4">
        <w:t>m tregtar</w:t>
      </w:r>
      <w:r w:rsidR="009268BC">
        <w:t>, duke konkurruar</w:t>
      </w:r>
      <w:r w:rsidR="008F32D1">
        <w:t xml:space="preserve"> vet</w:t>
      </w:r>
      <w:r w:rsidR="00E2780F">
        <w:t>ë</w:t>
      </w:r>
      <w:r w:rsidR="008F32D1">
        <w:t>m p</w:t>
      </w:r>
      <w:r w:rsidR="00E2780F">
        <w:t>ë</w:t>
      </w:r>
      <w:r w:rsidR="008F32D1">
        <w:t xml:space="preserve">rmes </w:t>
      </w:r>
      <w:r w:rsidR="009268BC">
        <w:t xml:space="preserve">produkteve </w:t>
      </w:r>
      <w:r w:rsidR="00181665">
        <w:t>cil</w:t>
      </w:r>
      <w:r w:rsidR="00E2780F">
        <w:t>ë</w:t>
      </w:r>
      <w:r w:rsidR="00181665">
        <w:t>s</w:t>
      </w:r>
      <w:r w:rsidR="009268BC">
        <w:t>ore</w:t>
      </w:r>
      <w:r w:rsidR="008F32D1">
        <w:t xml:space="preserve"> dhe </w:t>
      </w:r>
      <w:r w:rsidR="003E1567">
        <w:t>çmimeve të tregut</w:t>
      </w:r>
      <w:r w:rsidR="008F32D1">
        <w:t>.</w:t>
      </w:r>
      <w:r w:rsidR="00114593">
        <w:t xml:space="preserve"> Kjo do të arrihet përmes rregullimit dhe harmonizimit të dispozitave ligjore me parimet bazë të OBT-së dhe Rregulloret e BE-së.</w:t>
      </w:r>
      <w:r w:rsidR="008F32D1">
        <w:t xml:space="preserve"> </w:t>
      </w:r>
    </w:p>
    <w:p w14:paraId="0D0E6DBE" w14:textId="7710EEE7" w:rsidR="00360C38" w:rsidRPr="00937662" w:rsidRDefault="00360C38" w:rsidP="00E673E6">
      <w:pPr>
        <w:spacing w:line="276" w:lineRule="auto"/>
        <w:jc w:val="both"/>
      </w:pPr>
      <w:r w:rsidRPr="00937662">
        <w:t xml:space="preserve">Ky ligj </w:t>
      </w:r>
      <w:r w:rsidR="009B247B" w:rsidRPr="00937662">
        <w:t xml:space="preserve">do të </w:t>
      </w:r>
      <w:proofErr w:type="spellStart"/>
      <w:r w:rsidRPr="00937662">
        <w:t>transpozo</w:t>
      </w:r>
      <w:r w:rsidR="009B247B" w:rsidRPr="00937662">
        <w:t>jë</w:t>
      </w:r>
      <w:proofErr w:type="spellEnd"/>
      <w:r w:rsidRPr="00937662">
        <w:t xml:space="preserve"> </w:t>
      </w:r>
      <w:r w:rsidR="008F32D1">
        <w:t xml:space="preserve">disa </w:t>
      </w:r>
      <w:r w:rsidRPr="00937662">
        <w:t xml:space="preserve">dispozita </w:t>
      </w:r>
      <w:r w:rsidR="008F32D1">
        <w:t>të Rregullores s</w:t>
      </w:r>
      <w:r w:rsidR="00E2780F">
        <w:t>ë</w:t>
      </w:r>
      <w:r w:rsidRPr="00937662">
        <w:t xml:space="preserve"> </w:t>
      </w:r>
      <w:r w:rsidR="00C76623" w:rsidRPr="00937662">
        <w:t>B</w:t>
      </w:r>
      <w:r w:rsidRPr="00937662">
        <w:t>E</w:t>
      </w:r>
      <w:r w:rsidR="00C76623" w:rsidRPr="00937662">
        <w:t>-së</w:t>
      </w:r>
      <w:r w:rsidRPr="00937662">
        <w:t xml:space="preserve"> </w:t>
      </w:r>
      <w:r w:rsidR="0081525C">
        <w:t>2016/1036 “</w:t>
      </w:r>
      <w:r w:rsidRPr="00937662">
        <w:t>për</w:t>
      </w:r>
      <w:r w:rsidR="008F32D1">
        <w:t xml:space="preserve"> Mbrojtje nga Importet e </w:t>
      </w:r>
      <w:proofErr w:type="spellStart"/>
      <w:r w:rsidR="008F32D1">
        <w:t>Dampuara</w:t>
      </w:r>
      <w:proofErr w:type="spellEnd"/>
      <w:r w:rsidR="008F32D1">
        <w:t xml:space="preserve"> nga Vendet e Treta</w:t>
      </w:r>
      <w:r w:rsidR="0081525C">
        <w:t>”</w:t>
      </w:r>
      <w:r w:rsidR="008F32D1">
        <w:t xml:space="preserve"> si dhe </w:t>
      </w:r>
      <w:r w:rsidR="003E1567">
        <w:t xml:space="preserve">dispozita të </w:t>
      </w:r>
      <w:r w:rsidR="008F32D1">
        <w:t>Rregullore</w:t>
      </w:r>
      <w:r w:rsidR="003E1567">
        <w:t>s</w:t>
      </w:r>
      <w:r w:rsidR="0081525C">
        <w:t xml:space="preserve"> </w:t>
      </w:r>
      <w:r w:rsidR="003E1567">
        <w:t xml:space="preserve">së </w:t>
      </w:r>
      <w:r w:rsidR="0081525C">
        <w:t>BE</w:t>
      </w:r>
      <w:r w:rsidR="003E1567">
        <w:t>-së</w:t>
      </w:r>
      <w:r w:rsidR="0081525C">
        <w:t xml:space="preserve"> 2016/1037</w:t>
      </w:r>
      <w:r w:rsidR="008F32D1">
        <w:t xml:space="preserve"> </w:t>
      </w:r>
      <w:r w:rsidR="0081525C">
        <w:t>“</w:t>
      </w:r>
      <w:r w:rsidR="008F32D1">
        <w:t>p</w:t>
      </w:r>
      <w:r w:rsidR="00E2780F">
        <w:t>ë</w:t>
      </w:r>
      <w:r w:rsidR="008F32D1">
        <w:t xml:space="preserve">r Mbrojtje </w:t>
      </w:r>
      <w:r w:rsidR="0081525C">
        <w:t>n</w:t>
      </w:r>
      <w:r w:rsidR="008F32D1">
        <w:t>daj Importeve t</w:t>
      </w:r>
      <w:r w:rsidR="00E2780F">
        <w:t>ë</w:t>
      </w:r>
      <w:r w:rsidR="008F32D1">
        <w:t xml:space="preserve"> Subvencionuara </w:t>
      </w:r>
      <w:r w:rsidR="0081525C">
        <w:t xml:space="preserve">nga Vendet </w:t>
      </w:r>
      <w:proofErr w:type="spellStart"/>
      <w:r w:rsidR="0081525C">
        <w:t>Joan</w:t>
      </w:r>
      <w:r w:rsidR="00E2780F">
        <w:t>ë</w:t>
      </w:r>
      <w:r w:rsidR="0081525C">
        <w:t>tare</w:t>
      </w:r>
      <w:proofErr w:type="spellEnd"/>
      <w:r w:rsidR="0081525C">
        <w:t xml:space="preserve"> t</w:t>
      </w:r>
      <w:r w:rsidR="00E2780F">
        <w:t>ë</w:t>
      </w:r>
      <w:r w:rsidR="0081525C">
        <w:t xml:space="preserve"> BE-s</w:t>
      </w:r>
      <w:r w:rsidR="00E2780F">
        <w:t>ë</w:t>
      </w:r>
      <w:r w:rsidR="0081525C">
        <w:t>”</w:t>
      </w:r>
      <w:r w:rsidR="003E1567">
        <w:t>, si dhe do të jetë në harmoni me parimet bazë të OBT-së.</w:t>
      </w:r>
    </w:p>
    <w:p w14:paraId="19935222" w14:textId="25AD9D2A" w:rsidR="00360C38" w:rsidRPr="00937662" w:rsidRDefault="000A322B" w:rsidP="00E673E6">
      <w:pPr>
        <w:spacing w:line="276" w:lineRule="auto"/>
        <w:jc w:val="both"/>
      </w:pPr>
      <w:r>
        <w:t>P</w:t>
      </w:r>
      <w:r w:rsidR="0018462E">
        <w:t>ër rregullimin</w:t>
      </w:r>
      <w:r w:rsidR="00BA16C5">
        <w:t xml:space="preserve"> e dispozitave ligjore,</w:t>
      </w:r>
      <w:r w:rsidR="00360C38" w:rsidRPr="00937662">
        <w:t xml:space="preserve"> </w:t>
      </w:r>
      <w:r w:rsidR="0018462E">
        <w:t>propozuesi i këtij</w:t>
      </w:r>
      <w:r>
        <w:t xml:space="preserve"> koncept</w:t>
      </w:r>
      <w:r w:rsidR="0018462E">
        <w:t xml:space="preserve"> dokumenti</w:t>
      </w:r>
      <w:r w:rsidR="00360C38" w:rsidRPr="00937662">
        <w:t xml:space="preserve"> </w:t>
      </w:r>
      <w:r w:rsidR="00366679" w:rsidRPr="00937662">
        <w:t>vlerëson</w:t>
      </w:r>
      <w:r w:rsidR="00360C38" w:rsidRPr="00937662">
        <w:t xml:space="preserve"> se </w:t>
      </w:r>
      <w:r w:rsidR="0018462E">
        <w:t>me hartimin</w:t>
      </w:r>
      <w:r w:rsidR="00C76623" w:rsidRPr="00937662">
        <w:t xml:space="preserve"> e </w:t>
      </w:r>
      <w:r w:rsidR="00BB4DF0">
        <w:t>l</w:t>
      </w:r>
      <w:r w:rsidR="00C76623" w:rsidRPr="00937662">
        <w:t>igjit të ri</w:t>
      </w:r>
      <w:r w:rsidR="0018462E">
        <w:t xml:space="preserve"> </w:t>
      </w:r>
      <w:r w:rsidR="00C76623" w:rsidRPr="00937662">
        <w:t xml:space="preserve">për </w:t>
      </w:r>
      <w:r w:rsidR="00BB4DF0">
        <w:t>m</w:t>
      </w:r>
      <w:r w:rsidR="0018462E">
        <w:t xml:space="preserve">asat </w:t>
      </w:r>
      <w:proofErr w:type="spellStart"/>
      <w:r w:rsidR="00BB4DF0">
        <w:t>a</w:t>
      </w:r>
      <w:r w:rsidR="0018462E">
        <w:t>ntidamping</w:t>
      </w:r>
      <w:proofErr w:type="spellEnd"/>
      <w:r w:rsidR="0018462E">
        <w:t xml:space="preserve"> dhe </w:t>
      </w:r>
      <w:r w:rsidR="00BB4DF0">
        <w:t>m</w:t>
      </w:r>
      <w:r w:rsidR="0018462E">
        <w:t xml:space="preserve">asat </w:t>
      </w:r>
      <w:proofErr w:type="spellStart"/>
      <w:r w:rsidR="00BB4DF0">
        <w:t>k</w:t>
      </w:r>
      <w:r w:rsidR="0018462E">
        <w:t>undër</w:t>
      </w:r>
      <w:r w:rsidR="00BB4DF0">
        <w:t>b</w:t>
      </w:r>
      <w:r w:rsidR="0018462E">
        <w:t>alancuese</w:t>
      </w:r>
      <w:proofErr w:type="spellEnd"/>
      <w:r w:rsidR="0018462E">
        <w:t xml:space="preserve"> mund të rregullohet n</w:t>
      </w:r>
      <w:r w:rsidR="00E2780F">
        <w:t>ë</w:t>
      </w:r>
      <w:r w:rsidR="0018462E">
        <w:t xml:space="preserve"> mas</w:t>
      </w:r>
      <w:r w:rsidR="00E2780F">
        <w:t>ë</w:t>
      </w:r>
      <w:r w:rsidR="0018462E">
        <w:t xml:space="preserve"> t</w:t>
      </w:r>
      <w:r w:rsidR="00E2780F">
        <w:t>ë</w:t>
      </w:r>
      <w:r w:rsidR="0018462E">
        <w:t xml:space="preserve"> madhe ç</w:t>
      </w:r>
      <w:r w:rsidR="00E2780F">
        <w:t>ë</w:t>
      </w:r>
      <w:r w:rsidR="0018462E">
        <w:t>shtja e praktikave t</w:t>
      </w:r>
      <w:r w:rsidR="00E2780F">
        <w:t>ë</w:t>
      </w:r>
      <w:r w:rsidR="0018462E">
        <w:t xml:space="preserve"> padrejta tregtare me rastin e importeve </w:t>
      </w:r>
      <w:r w:rsidR="00223AB4">
        <w:t>t</w:t>
      </w:r>
      <w:r w:rsidR="00BE60D9">
        <w:t>ë</w:t>
      </w:r>
      <w:r w:rsidR="00223AB4">
        <w:t xml:space="preserve"> produkteve </w:t>
      </w:r>
      <w:r w:rsidR="0018462E">
        <w:t>n</w:t>
      </w:r>
      <w:r w:rsidR="00E2780F">
        <w:t>ë</w:t>
      </w:r>
      <w:r w:rsidR="0018462E">
        <w:t xml:space="preserve"> tregut e Republik</w:t>
      </w:r>
      <w:r w:rsidR="00E2780F">
        <w:t>ë</w:t>
      </w:r>
      <w:r w:rsidR="0018462E">
        <w:t>s s</w:t>
      </w:r>
      <w:r w:rsidR="00E2780F">
        <w:t>ë</w:t>
      </w:r>
      <w:r w:rsidR="0018462E">
        <w:t xml:space="preserve"> Kosov</w:t>
      </w:r>
      <w:r w:rsidR="00E2780F">
        <w:t>ë</w:t>
      </w:r>
      <w:r w:rsidR="0018462E">
        <w:t>s</w:t>
      </w:r>
      <w:r w:rsidR="00366679" w:rsidRPr="00937662">
        <w:t>.</w:t>
      </w:r>
    </w:p>
    <w:p w14:paraId="780CCD24" w14:textId="0B719E62" w:rsidR="00360C38" w:rsidRPr="00937662" w:rsidRDefault="00360C38" w:rsidP="00E673E6">
      <w:pPr>
        <w:spacing w:line="276" w:lineRule="auto"/>
        <w:jc w:val="both"/>
      </w:pPr>
      <w:r w:rsidRPr="00937662">
        <w:t>Efektet pozitive të ligj</w:t>
      </w:r>
      <w:r w:rsidR="00515818" w:rsidRPr="00937662">
        <w:t>it të ri</w:t>
      </w:r>
      <w:r w:rsidRPr="00937662">
        <w:t xml:space="preserve"> </w:t>
      </w:r>
      <w:r w:rsidR="0090412E">
        <w:t>n</w:t>
      </w:r>
      <w:r w:rsidR="00E2780F">
        <w:t>ë</w:t>
      </w:r>
      <w:r w:rsidR="0090412E">
        <w:t xml:space="preserve"> m</w:t>
      </w:r>
      <w:r w:rsidR="00E2780F">
        <w:t>ë</w:t>
      </w:r>
      <w:r w:rsidR="0090412E">
        <w:t>nyr</w:t>
      </w:r>
      <w:r w:rsidR="00E2780F">
        <w:t>ë</w:t>
      </w:r>
      <w:r w:rsidR="0090412E">
        <w:t xml:space="preserve"> t</w:t>
      </w:r>
      <w:r w:rsidR="00E2780F">
        <w:t>ë</w:t>
      </w:r>
      <w:r w:rsidR="0090412E">
        <w:t xml:space="preserve"> drejtp</w:t>
      </w:r>
      <w:r w:rsidR="00E2780F">
        <w:t>ë</w:t>
      </w:r>
      <w:r w:rsidR="0090412E">
        <w:t>rdrejt do t</w:t>
      </w:r>
      <w:r w:rsidR="00E2780F">
        <w:t>ë</w:t>
      </w:r>
      <w:r w:rsidR="0090412E">
        <w:t xml:space="preserve"> ndik</w:t>
      </w:r>
      <w:r w:rsidR="00515818" w:rsidRPr="00937662">
        <w:t>ojnë</w:t>
      </w:r>
      <w:r w:rsidRPr="00937662">
        <w:t xml:space="preserve"> </w:t>
      </w:r>
      <w:r w:rsidR="0090412E">
        <w:t>te</w:t>
      </w:r>
      <w:r w:rsidRPr="00937662">
        <w:t xml:space="preserve"> </w:t>
      </w:r>
      <w:r w:rsidR="0090412E">
        <w:t>prodhuesit vendor</w:t>
      </w:r>
      <w:r w:rsidRPr="00937662">
        <w:t>, p</w:t>
      </w:r>
      <w:r w:rsidR="0090412E">
        <w:t xml:space="preserve">roduktet e </w:t>
      </w:r>
      <w:proofErr w:type="spellStart"/>
      <w:r w:rsidR="0090412E">
        <w:t>plasuara</w:t>
      </w:r>
      <w:proofErr w:type="spellEnd"/>
      <w:r w:rsidR="0090412E">
        <w:t xml:space="preserve"> n</w:t>
      </w:r>
      <w:r w:rsidR="00E2780F">
        <w:t>ë</w:t>
      </w:r>
      <w:r w:rsidR="0090412E">
        <w:t xml:space="preserve"> treg, </w:t>
      </w:r>
      <w:r w:rsidRPr="00937662">
        <w:t>subjekte</w:t>
      </w:r>
      <w:r w:rsidR="00A4312A" w:rsidRPr="00937662">
        <w:t>t</w:t>
      </w:r>
      <w:r w:rsidRPr="00937662">
        <w:t xml:space="preserve"> ekonomike dhe persona të tjerë juridikë që </w:t>
      </w:r>
      <w:r w:rsidR="0090412E">
        <w:t>shesin</w:t>
      </w:r>
      <w:r w:rsidRPr="00937662">
        <w:t xml:space="preserve"> produkte</w:t>
      </w:r>
      <w:r w:rsidR="00DC02B5">
        <w:t xml:space="preserve"> n</w:t>
      </w:r>
      <w:r w:rsidR="00E2780F">
        <w:t>ë</w:t>
      </w:r>
      <w:r w:rsidR="00DC02B5">
        <w:t xml:space="preserve"> tregun vendor</w:t>
      </w:r>
      <w:r w:rsidRPr="00937662">
        <w:t>, nga këndvështrimi</w:t>
      </w:r>
      <w:r w:rsidR="00515818" w:rsidRPr="00937662">
        <w:t xml:space="preserve"> i</w:t>
      </w:r>
      <w:r w:rsidRPr="00937662">
        <w:t xml:space="preserve"> </w:t>
      </w:r>
      <w:r w:rsidR="00515818" w:rsidRPr="00937662">
        <w:t>garantimit të</w:t>
      </w:r>
      <w:r w:rsidRPr="00937662">
        <w:t xml:space="preserve"> një niveli të lartë të </w:t>
      </w:r>
      <w:r w:rsidR="0090412E">
        <w:t>mbrojtjes s</w:t>
      </w:r>
      <w:r w:rsidR="00E2780F">
        <w:t>ë</w:t>
      </w:r>
      <w:r w:rsidR="0090412E">
        <w:t xml:space="preserve"> tregut dhe n</w:t>
      </w:r>
      <w:r w:rsidR="00E2780F">
        <w:t>ë</w:t>
      </w:r>
      <w:r w:rsidR="0090412E">
        <w:t xml:space="preserve"> funksion t</w:t>
      </w:r>
      <w:r w:rsidR="00E2780F">
        <w:t>ë</w:t>
      </w:r>
      <w:r w:rsidR="0090412E">
        <w:t xml:space="preserve"> krijimit t</w:t>
      </w:r>
      <w:r w:rsidR="00E2780F">
        <w:t>ë</w:t>
      </w:r>
      <w:r w:rsidR="0090412E">
        <w:t xml:space="preserve"> nj</w:t>
      </w:r>
      <w:r w:rsidR="00E2780F">
        <w:t>ë</w:t>
      </w:r>
      <w:r w:rsidR="0090412E">
        <w:t xml:space="preserve"> konkurrence t</w:t>
      </w:r>
      <w:r w:rsidR="00E2780F">
        <w:t>ë</w:t>
      </w:r>
      <w:r w:rsidR="0090412E">
        <w:t xml:space="preserve"> sh</w:t>
      </w:r>
      <w:r w:rsidR="00E2780F">
        <w:t>ë</w:t>
      </w:r>
      <w:r w:rsidR="0090412E">
        <w:t>ndosh</w:t>
      </w:r>
      <w:r w:rsidR="00E2780F">
        <w:t>ë</w:t>
      </w:r>
      <w:r w:rsidR="00DC02B5">
        <w:t xml:space="preserve"> ku rregullat vlejn</w:t>
      </w:r>
      <w:r w:rsidR="00E2780F">
        <w:t>ë</w:t>
      </w:r>
      <w:r w:rsidR="00DC02B5">
        <w:t xml:space="preserve"> nj</w:t>
      </w:r>
      <w:r w:rsidR="00E2780F">
        <w:t>ë</w:t>
      </w:r>
      <w:r w:rsidR="00DC02B5">
        <w:t>jt</w:t>
      </w:r>
      <w:r w:rsidR="00E2780F">
        <w:t>ë</w:t>
      </w:r>
      <w:r w:rsidR="00DC02B5">
        <w:t xml:space="preserve"> p</w:t>
      </w:r>
      <w:r w:rsidR="00E2780F">
        <w:t>ë</w:t>
      </w:r>
      <w:r w:rsidR="00DC02B5">
        <w:t>r t</w:t>
      </w:r>
      <w:r w:rsidR="00E2780F">
        <w:t>ë</w:t>
      </w:r>
      <w:r w:rsidR="00DC02B5">
        <w:t xml:space="preserve"> gjith</w:t>
      </w:r>
      <w:r w:rsidR="00E2780F">
        <w:t>ë</w:t>
      </w:r>
      <w:r w:rsidRPr="00937662">
        <w:t>.</w:t>
      </w:r>
      <w:r w:rsidR="009268BC" w:rsidRPr="009268BC">
        <w:t xml:space="preserve"> </w:t>
      </w:r>
      <w:r w:rsidR="009268BC">
        <w:t>Për m</w:t>
      </w:r>
      <w:r w:rsidR="00E2780F">
        <w:t>ë</w:t>
      </w:r>
      <w:r w:rsidR="009268BC">
        <w:t xml:space="preserve"> tep</w:t>
      </w:r>
      <w:r w:rsidR="00E2780F">
        <w:t>ë</w:t>
      </w:r>
      <w:r w:rsidR="009268BC">
        <w:t>r</w:t>
      </w:r>
      <w:r w:rsidR="00DC02B5">
        <w:t>,</w:t>
      </w:r>
      <w:r w:rsidR="009268BC">
        <w:t xml:space="preserve"> m</w:t>
      </w:r>
      <w:r w:rsidR="009268BC" w:rsidRPr="00937662">
        <w:t xml:space="preserve">iratimi </w:t>
      </w:r>
      <w:r w:rsidR="007A10EE">
        <w:t xml:space="preserve">i </w:t>
      </w:r>
      <w:r w:rsidR="009268BC" w:rsidRPr="00937662">
        <w:t>ligjit të ri do të krijojë kushte m</w:t>
      </w:r>
      <w:r w:rsidR="00E2780F">
        <w:t>ë</w:t>
      </w:r>
      <w:r w:rsidR="009268BC" w:rsidRPr="00937662">
        <w:t xml:space="preserve"> t</w:t>
      </w:r>
      <w:r w:rsidR="00E2780F">
        <w:t>ë</w:t>
      </w:r>
      <w:r w:rsidR="009268BC" w:rsidRPr="00937662">
        <w:t xml:space="preserve"> favorshme për hyrjen e subjekteve të reja ekonomike në treg</w:t>
      </w:r>
      <w:r w:rsidR="009268BC">
        <w:t xml:space="preserve"> respektivisht prodhuesve</w:t>
      </w:r>
      <w:r w:rsidR="003E1567">
        <w:t xml:space="preserve"> ku si rezultat do të kishte edhe rritjen e vendeve të reja të punës</w:t>
      </w:r>
      <w:r w:rsidR="009268BC">
        <w:t>.</w:t>
      </w:r>
    </w:p>
    <w:p w14:paraId="6D1051DF" w14:textId="3F49BBF0" w:rsidR="006A65A2" w:rsidRDefault="00680645" w:rsidP="005D5C2E">
      <w:pPr>
        <w:shd w:val="clear" w:color="auto" w:fill="FFFFFF"/>
        <w:spacing w:after="150" w:line="240" w:lineRule="auto"/>
        <w:jc w:val="both"/>
        <w:rPr>
          <w:rFonts w:cs="Times New Roman"/>
          <w:szCs w:val="24"/>
        </w:rPr>
      </w:pPr>
      <w:r w:rsidRPr="00937662">
        <w:rPr>
          <w:rFonts w:cs="Times New Roman"/>
          <w:szCs w:val="24"/>
        </w:rPr>
        <w:lastRenderedPageBreak/>
        <w:t>G</w:t>
      </w:r>
      <w:r w:rsidR="005D5C2E" w:rsidRPr="00937662">
        <w:rPr>
          <w:rFonts w:cs="Times New Roman"/>
          <w:szCs w:val="24"/>
        </w:rPr>
        <w:t xml:space="preserve">rupi punues për hartimin e draftit fillestar të Koncept Dokumentit në </w:t>
      </w:r>
      <w:r w:rsidR="006A65A2">
        <w:rPr>
          <w:rFonts w:cs="Times New Roman"/>
          <w:szCs w:val="24"/>
        </w:rPr>
        <w:t>f</w:t>
      </w:r>
      <w:r w:rsidR="005D5C2E" w:rsidRPr="00937662">
        <w:rPr>
          <w:rFonts w:cs="Times New Roman"/>
          <w:szCs w:val="24"/>
        </w:rPr>
        <w:t xml:space="preserve">ushën e </w:t>
      </w:r>
      <w:r w:rsidR="006A65A2">
        <w:t>m</w:t>
      </w:r>
      <w:r w:rsidR="009268BC">
        <w:t xml:space="preserve">asave </w:t>
      </w:r>
      <w:proofErr w:type="spellStart"/>
      <w:r w:rsidR="006A65A2">
        <w:t>a</w:t>
      </w:r>
      <w:r w:rsidR="009268BC">
        <w:t>ntidamping</w:t>
      </w:r>
      <w:proofErr w:type="spellEnd"/>
      <w:r w:rsidR="009268BC">
        <w:t xml:space="preserve"> dhe </w:t>
      </w:r>
      <w:r w:rsidR="006A65A2">
        <w:t>m</w:t>
      </w:r>
      <w:r w:rsidR="009268BC">
        <w:t xml:space="preserve">asave </w:t>
      </w:r>
      <w:proofErr w:type="spellStart"/>
      <w:r w:rsidR="006A65A2">
        <w:t>k</w:t>
      </w:r>
      <w:r w:rsidR="009268BC">
        <w:t>und</w:t>
      </w:r>
      <w:r w:rsidR="00E2780F">
        <w:t>ë</w:t>
      </w:r>
      <w:r w:rsidR="009268BC">
        <w:t>rbalancuese</w:t>
      </w:r>
      <w:proofErr w:type="spellEnd"/>
      <w:r w:rsidRPr="00937662">
        <w:t xml:space="preserve"> është themeluar me vendim</w:t>
      </w:r>
      <w:r w:rsidR="006A65A2">
        <w:t xml:space="preserve">in numër te protokolli </w:t>
      </w:r>
      <w:r w:rsidR="002163EB">
        <w:t xml:space="preserve">1107/02 </w:t>
      </w:r>
      <w:r w:rsidR="006A65A2">
        <w:t>t</w:t>
      </w:r>
      <w:r w:rsidR="002163EB">
        <w:t>ë</w:t>
      </w:r>
      <w:r w:rsidR="006A65A2">
        <w:t xml:space="preserve"> </w:t>
      </w:r>
      <w:r w:rsidR="002163EB">
        <w:t>datës 01.03.2024</w:t>
      </w:r>
      <w:r w:rsidR="006A65A2">
        <w:t xml:space="preserve"> </w:t>
      </w:r>
      <w:r w:rsidRPr="00937662">
        <w:t xml:space="preserve">te </w:t>
      </w:r>
      <w:proofErr w:type="spellStart"/>
      <w:r w:rsidRPr="00937662">
        <w:rPr>
          <w:rFonts w:cs="Times New Roman"/>
          <w:szCs w:val="24"/>
        </w:rPr>
        <w:t>Zv</w:t>
      </w:r>
      <w:proofErr w:type="spellEnd"/>
      <w:r w:rsidRPr="00937662">
        <w:rPr>
          <w:rFonts w:cs="Times New Roman"/>
          <w:szCs w:val="24"/>
        </w:rPr>
        <w:t>. Sekretari</w:t>
      </w:r>
      <w:r w:rsidR="009268BC">
        <w:rPr>
          <w:rFonts w:cs="Times New Roman"/>
          <w:szCs w:val="24"/>
        </w:rPr>
        <w:t>t</w:t>
      </w:r>
      <w:r w:rsidRPr="00937662">
        <w:rPr>
          <w:rFonts w:cs="Times New Roman"/>
          <w:szCs w:val="24"/>
        </w:rPr>
        <w:t xml:space="preserve"> </w:t>
      </w:r>
      <w:r w:rsidR="009268BC">
        <w:rPr>
          <w:rFonts w:cs="Times New Roman"/>
          <w:szCs w:val="24"/>
        </w:rPr>
        <w:t>të</w:t>
      </w:r>
      <w:r w:rsidRPr="00937662">
        <w:rPr>
          <w:rFonts w:cs="Times New Roman"/>
          <w:szCs w:val="24"/>
        </w:rPr>
        <w:t xml:space="preserve"> Përgjithsh</w:t>
      </w:r>
      <w:r w:rsidR="009268BC">
        <w:rPr>
          <w:rFonts w:cs="Times New Roman"/>
          <w:szCs w:val="24"/>
        </w:rPr>
        <w:t>ë</w:t>
      </w:r>
      <w:r w:rsidRPr="00937662">
        <w:rPr>
          <w:rFonts w:cs="Times New Roman"/>
          <w:szCs w:val="24"/>
        </w:rPr>
        <w:t>m t</w:t>
      </w:r>
      <w:r w:rsidR="00E2780F">
        <w:rPr>
          <w:rFonts w:cs="Times New Roman"/>
          <w:szCs w:val="24"/>
        </w:rPr>
        <w:t>ë</w:t>
      </w:r>
      <w:r w:rsidRPr="00937662">
        <w:rPr>
          <w:rFonts w:cs="Times New Roman"/>
          <w:szCs w:val="24"/>
        </w:rPr>
        <w:t xml:space="preserve"> M</w:t>
      </w:r>
      <w:r w:rsidR="009268BC">
        <w:rPr>
          <w:rFonts w:cs="Times New Roman"/>
          <w:szCs w:val="24"/>
        </w:rPr>
        <w:t>INT</w:t>
      </w:r>
      <w:r w:rsidR="006A65A2">
        <w:rPr>
          <w:rFonts w:cs="Times New Roman"/>
          <w:szCs w:val="24"/>
        </w:rPr>
        <w:t>.</w:t>
      </w:r>
      <w:r w:rsidRPr="00937662">
        <w:rPr>
          <w:rFonts w:cs="Times New Roman"/>
          <w:szCs w:val="24"/>
        </w:rPr>
        <w:t xml:space="preserve"> </w:t>
      </w:r>
    </w:p>
    <w:p w14:paraId="23B948A6" w14:textId="2B3B4398" w:rsidR="005D5C2E" w:rsidRPr="00937662" w:rsidRDefault="006A65A2" w:rsidP="005D5C2E">
      <w:pPr>
        <w:shd w:val="clear" w:color="auto" w:fill="FFFFFF"/>
        <w:spacing w:after="150" w:line="240" w:lineRule="auto"/>
        <w:jc w:val="both"/>
        <w:rPr>
          <w:rFonts w:cs="Times New Roman"/>
          <w:szCs w:val="24"/>
        </w:rPr>
      </w:pPr>
      <w:r w:rsidRPr="00937662">
        <w:t xml:space="preserve">Koncept dokument në </w:t>
      </w:r>
      <w:r w:rsidRPr="008D5FFD">
        <w:t xml:space="preserve">fushën e masave </w:t>
      </w:r>
      <w:proofErr w:type="spellStart"/>
      <w:r w:rsidRPr="008D5FFD">
        <w:t>antidamping</w:t>
      </w:r>
      <w:proofErr w:type="spellEnd"/>
      <w:r w:rsidRPr="008D5FFD">
        <w:t xml:space="preserve"> dhe masave kundër balancuese</w:t>
      </w:r>
      <w:r>
        <w:rPr>
          <w:rFonts w:cs="Times New Roman"/>
          <w:szCs w:val="24"/>
        </w:rPr>
        <w:t xml:space="preserve"> </w:t>
      </w:r>
      <w:r w:rsidR="005D5C2E" w:rsidRPr="00937662">
        <w:rPr>
          <w:rFonts w:cs="Times New Roman"/>
          <w:szCs w:val="24"/>
        </w:rPr>
        <w:t>është përfshirë  në listën e Koncept Dokumenteve për vitin 20</w:t>
      </w:r>
      <w:r w:rsidR="007D00F2" w:rsidRPr="00937662">
        <w:rPr>
          <w:rFonts w:cs="Times New Roman"/>
          <w:szCs w:val="24"/>
        </w:rPr>
        <w:t>2</w:t>
      </w:r>
      <w:r w:rsidR="007F307C">
        <w:rPr>
          <w:rFonts w:cs="Times New Roman"/>
          <w:szCs w:val="24"/>
        </w:rPr>
        <w:t>4</w:t>
      </w:r>
      <w:r w:rsidR="005D5C2E" w:rsidRPr="00937662">
        <w:rPr>
          <w:rFonts w:cs="Times New Roman"/>
          <w:szCs w:val="24"/>
        </w:rPr>
        <w:t>. Qëllimi i këtij Koncept Dokumenti është që të propozo</w:t>
      </w:r>
      <w:r w:rsidR="00337469">
        <w:rPr>
          <w:rFonts w:cs="Times New Roman"/>
          <w:szCs w:val="24"/>
        </w:rPr>
        <w:t>j</w:t>
      </w:r>
      <w:r w:rsidR="005D5C2E" w:rsidRPr="00937662">
        <w:rPr>
          <w:rFonts w:cs="Times New Roman"/>
          <w:szCs w:val="24"/>
        </w:rPr>
        <w:t xml:space="preserve"> opsionin më adekuat për të adresuar problemin kryesor t</w:t>
      </w:r>
      <w:r w:rsidR="00E2780F">
        <w:rPr>
          <w:rFonts w:cs="Times New Roman"/>
          <w:szCs w:val="24"/>
        </w:rPr>
        <w:t>ë</w:t>
      </w:r>
      <w:r w:rsidR="005D5C2E" w:rsidRPr="00937662">
        <w:rPr>
          <w:rFonts w:cs="Times New Roman"/>
          <w:szCs w:val="24"/>
        </w:rPr>
        <w:t xml:space="preserve"> identifikuar nga grupi punues, problem ky që kri</w:t>
      </w:r>
      <w:r w:rsidR="00337469">
        <w:rPr>
          <w:rFonts w:cs="Times New Roman"/>
          <w:szCs w:val="24"/>
        </w:rPr>
        <w:t>jon vështirësi në mbrojtjen e mir</w:t>
      </w:r>
      <w:r w:rsidR="00E2780F">
        <w:rPr>
          <w:rFonts w:cs="Times New Roman"/>
          <w:szCs w:val="24"/>
        </w:rPr>
        <w:t>ë</w:t>
      </w:r>
      <w:r w:rsidR="00337469">
        <w:rPr>
          <w:rFonts w:cs="Times New Roman"/>
          <w:szCs w:val="24"/>
        </w:rPr>
        <w:t>fillt</w:t>
      </w:r>
      <w:r w:rsidR="00E2780F">
        <w:rPr>
          <w:rFonts w:cs="Times New Roman"/>
          <w:szCs w:val="24"/>
        </w:rPr>
        <w:t>ë</w:t>
      </w:r>
      <w:r w:rsidR="00337469">
        <w:rPr>
          <w:rFonts w:cs="Times New Roman"/>
          <w:szCs w:val="24"/>
        </w:rPr>
        <w:t xml:space="preserve"> t</w:t>
      </w:r>
      <w:r w:rsidR="00E2780F">
        <w:rPr>
          <w:rFonts w:cs="Times New Roman"/>
          <w:szCs w:val="24"/>
        </w:rPr>
        <w:t>ë</w:t>
      </w:r>
      <w:r w:rsidR="00337469">
        <w:rPr>
          <w:rFonts w:cs="Times New Roman"/>
          <w:szCs w:val="24"/>
        </w:rPr>
        <w:t xml:space="preserve"> tregut nga praktikat e padrejta tregtare n</w:t>
      </w:r>
      <w:r w:rsidR="00E2780F">
        <w:rPr>
          <w:rFonts w:cs="Times New Roman"/>
          <w:szCs w:val="24"/>
        </w:rPr>
        <w:t>ë</w:t>
      </w:r>
      <w:r w:rsidR="00337469">
        <w:rPr>
          <w:rFonts w:cs="Times New Roman"/>
          <w:szCs w:val="24"/>
        </w:rPr>
        <w:t xml:space="preserve"> import</w:t>
      </w:r>
      <w:r w:rsidR="002F7375">
        <w:rPr>
          <w:rFonts w:cs="Times New Roman"/>
          <w:szCs w:val="24"/>
        </w:rPr>
        <w:t>e</w:t>
      </w:r>
      <w:r w:rsidR="00337469">
        <w:rPr>
          <w:rFonts w:cs="Times New Roman"/>
          <w:szCs w:val="24"/>
        </w:rPr>
        <w:t xml:space="preserve">. </w:t>
      </w:r>
    </w:p>
    <w:p w14:paraId="014DE0E4" w14:textId="43D0CAA0" w:rsidR="005D5C2E" w:rsidRPr="00937662" w:rsidRDefault="00780A2E" w:rsidP="005D5C2E">
      <w:pPr>
        <w:spacing w:line="276" w:lineRule="auto"/>
        <w:jc w:val="both"/>
      </w:pPr>
      <w:r>
        <w:rPr>
          <w:rFonts w:cs="Times New Roman"/>
          <w:szCs w:val="24"/>
        </w:rPr>
        <w:t>K</w:t>
      </w:r>
      <w:r w:rsidRPr="00937662">
        <w:rPr>
          <w:rFonts w:cs="Times New Roman"/>
          <w:szCs w:val="24"/>
        </w:rPr>
        <w:t>oncep</w:t>
      </w:r>
      <w:r>
        <w:rPr>
          <w:rFonts w:cs="Times New Roman"/>
          <w:szCs w:val="24"/>
        </w:rPr>
        <w:t xml:space="preserve">t dokumenti </w:t>
      </w:r>
      <w:r w:rsidR="00114593">
        <w:rPr>
          <w:rFonts w:cs="Times New Roman"/>
          <w:szCs w:val="24"/>
        </w:rPr>
        <w:t>ë</w:t>
      </w:r>
      <w:r>
        <w:rPr>
          <w:rFonts w:cs="Times New Roman"/>
          <w:szCs w:val="24"/>
        </w:rPr>
        <w:t>sht</w:t>
      </w:r>
      <w:r w:rsidR="00114593">
        <w:rPr>
          <w:rFonts w:cs="Times New Roman"/>
          <w:szCs w:val="24"/>
        </w:rPr>
        <w:t>ë</w:t>
      </w:r>
      <w:r>
        <w:rPr>
          <w:rFonts w:cs="Times New Roman"/>
          <w:szCs w:val="24"/>
        </w:rPr>
        <w:t xml:space="preserve"> hartuar sipas</w:t>
      </w:r>
      <w:r w:rsidR="005D5C2E" w:rsidRPr="00937662">
        <w:rPr>
          <w:rFonts w:cs="Times New Roman"/>
          <w:szCs w:val="24"/>
        </w:rPr>
        <w:t xml:space="preserve"> </w:t>
      </w:r>
      <w:r w:rsidR="00680645" w:rsidRPr="00937662">
        <w:rPr>
          <w:rFonts w:cs="Times New Roman"/>
          <w:szCs w:val="24"/>
        </w:rPr>
        <w:t>Udhëzuesi</w:t>
      </w:r>
      <w:r>
        <w:rPr>
          <w:rFonts w:cs="Times New Roman"/>
          <w:szCs w:val="24"/>
        </w:rPr>
        <w:t>t</w:t>
      </w:r>
      <w:r w:rsidR="005D5C2E" w:rsidRPr="00937662">
        <w:rPr>
          <w:rFonts w:cs="Times New Roman"/>
          <w:szCs w:val="24"/>
        </w:rPr>
        <w:t xml:space="preserve"> për hartimin e koncept dokumenteve</w:t>
      </w:r>
      <w:r w:rsidR="007A10EE">
        <w:rPr>
          <w:rFonts w:cs="Times New Roman"/>
          <w:szCs w:val="24"/>
        </w:rPr>
        <w:t xml:space="preserve"> i cili do të propozoi</w:t>
      </w:r>
      <w:r w:rsidR="005D5C2E" w:rsidRPr="00937662">
        <w:rPr>
          <w:rFonts w:cs="Times New Roman"/>
          <w:szCs w:val="24"/>
        </w:rPr>
        <w:t xml:space="preserve"> opsionin e rekomanduar nga grupi punues bazuar në analizën lidhur me </w:t>
      </w:r>
      <w:r w:rsidR="007D00F2" w:rsidRPr="00937662">
        <w:t>Ligjin në fuqi Nr. 04/L-</w:t>
      </w:r>
      <w:r w:rsidR="002F7375">
        <w:t>240</w:t>
      </w:r>
      <w:r w:rsidR="007D00F2" w:rsidRPr="00937662">
        <w:t xml:space="preserve"> për </w:t>
      </w:r>
      <w:r w:rsidR="002F7375">
        <w:t xml:space="preserve">Masat </w:t>
      </w:r>
      <w:proofErr w:type="spellStart"/>
      <w:r w:rsidR="002F7375">
        <w:t>Antidamping</w:t>
      </w:r>
      <w:proofErr w:type="spellEnd"/>
      <w:r w:rsidR="002F7375">
        <w:t xml:space="preserve"> dhe Masat </w:t>
      </w:r>
      <w:proofErr w:type="spellStart"/>
      <w:r w:rsidR="002F7375">
        <w:t>Kund</w:t>
      </w:r>
      <w:r w:rsidR="00E2780F">
        <w:t>ë</w:t>
      </w:r>
      <w:r w:rsidR="002F7375">
        <w:t>rbalancuese</w:t>
      </w:r>
      <w:proofErr w:type="spellEnd"/>
      <w:r w:rsidR="007D00F2" w:rsidRPr="00937662">
        <w:t>.</w:t>
      </w:r>
    </w:p>
    <w:p w14:paraId="2873C28D" w14:textId="42529A98" w:rsidR="00CE7960" w:rsidRPr="00937662" w:rsidRDefault="00CE7960" w:rsidP="00CE7960">
      <w:pPr>
        <w:pStyle w:val="Caption"/>
        <w:keepNext/>
        <w:rPr>
          <w:b/>
          <w:color w:val="2E74B5" w:themeColor="accent1" w:themeShade="BF"/>
          <w:sz w:val="24"/>
          <w:szCs w:val="24"/>
        </w:rPr>
      </w:pPr>
      <w:r w:rsidRPr="00937662">
        <w:rPr>
          <w:b/>
          <w:color w:val="2E74B5" w:themeColor="accent1" w:themeShade="BF"/>
          <w:sz w:val="24"/>
          <w:szCs w:val="24"/>
        </w:rPr>
        <w:t xml:space="preserve">Tabela </w:t>
      </w:r>
      <w:r w:rsidRPr="00937662">
        <w:rPr>
          <w:b/>
          <w:color w:val="2E74B5" w:themeColor="accent1" w:themeShade="BF"/>
          <w:sz w:val="24"/>
          <w:szCs w:val="24"/>
        </w:rPr>
        <w:fldChar w:fldCharType="begin"/>
      </w:r>
      <w:r w:rsidRPr="00937662">
        <w:rPr>
          <w:b/>
          <w:color w:val="2E74B5" w:themeColor="accent1" w:themeShade="BF"/>
          <w:sz w:val="24"/>
          <w:szCs w:val="24"/>
        </w:rPr>
        <w:instrText xml:space="preserve"> SEQ Tabela \* ARABIC </w:instrText>
      </w:r>
      <w:r w:rsidRPr="00937662">
        <w:rPr>
          <w:b/>
          <w:color w:val="2E74B5" w:themeColor="accent1" w:themeShade="BF"/>
          <w:sz w:val="24"/>
          <w:szCs w:val="24"/>
        </w:rPr>
        <w:fldChar w:fldCharType="separate"/>
      </w:r>
      <w:r w:rsidR="006549E0" w:rsidRPr="00937662">
        <w:rPr>
          <w:b/>
          <w:noProof/>
          <w:color w:val="2E74B5" w:themeColor="accent1" w:themeShade="BF"/>
          <w:sz w:val="24"/>
          <w:szCs w:val="24"/>
        </w:rPr>
        <w:t>1</w:t>
      </w:r>
      <w:r w:rsidRPr="00937662">
        <w:rPr>
          <w:b/>
          <w:color w:val="2E74B5" w:themeColor="accent1" w:themeShade="BF"/>
          <w:sz w:val="24"/>
          <w:szCs w:val="24"/>
        </w:rPr>
        <w:fldChar w:fldCharType="end"/>
      </w:r>
      <w:r w:rsidRPr="00937662">
        <w:rPr>
          <w:b/>
          <w:color w:val="2E74B5" w:themeColor="accent1" w:themeShade="BF"/>
          <w:sz w:val="24"/>
          <w:szCs w:val="24"/>
        </w:rPr>
        <w:t>: Tabela që përmban informata të përgjithshme për koncept dokumentin</w:t>
      </w:r>
    </w:p>
    <w:tbl>
      <w:tblPr>
        <w:tblStyle w:val="TableGrid1"/>
        <w:tblW w:w="9895" w:type="dxa"/>
        <w:tblLook w:val="04A0" w:firstRow="1" w:lastRow="0" w:firstColumn="1" w:lastColumn="0" w:noHBand="0" w:noVBand="1"/>
      </w:tblPr>
      <w:tblGrid>
        <w:gridCol w:w="2335"/>
        <w:gridCol w:w="7560"/>
      </w:tblGrid>
      <w:tr w:rsidR="00FC649E" w:rsidRPr="00937662" w14:paraId="309377B4" w14:textId="77777777" w:rsidTr="00646EBE">
        <w:tc>
          <w:tcPr>
            <w:tcW w:w="2335" w:type="dxa"/>
          </w:tcPr>
          <w:p w14:paraId="2478A15B" w14:textId="77777777" w:rsidR="00FC649E" w:rsidRPr="00937662" w:rsidRDefault="00FC649E" w:rsidP="00646EBE">
            <w:pPr>
              <w:spacing w:before="120" w:after="120" w:line="276" w:lineRule="auto"/>
              <w:rPr>
                <w:rFonts w:cs="Times New Roman"/>
                <w:szCs w:val="24"/>
              </w:rPr>
            </w:pPr>
            <w:r w:rsidRPr="00937662">
              <w:t>Titulli</w:t>
            </w:r>
          </w:p>
        </w:tc>
        <w:tc>
          <w:tcPr>
            <w:tcW w:w="7560" w:type="dxa"/>
          </w:tcPr>
          <w:p w14:paraId="42D2EB23" w14:textId="2964683C" w:rsidR="00FC649E" w:rsidRPr="00937662" w:rsidRDefault="00FC649E" w:rsidP="00980FCF">
            <w:pPr>
              <w:spacing w:before="120" w:after="120" w:line="276" w:lineRule="auto"/>
              <w:rPr>
                <w:rFonts w:cs="Times New Roman"/>
                <w:szCs w:val="24"/>
              </w:rPr>
            </w:pPr>
            <w:r w:rsidRPr="00937662">
              <w:t>Koncept dokumenti për</w:t>
            </w:r>
            <w:r w:rsidR="005E1839" w:rsidRPr="00937662">
              <w:t xml:space="preserve"> fushën e</w:t>
            </w:r>
            <w:r w:rsidRPr="00937662">
              <w:t xml:space="preserve"> </w:t>
            </w:r>
            <w:r w:rsidR="00980FCF">
              <w:t xml:space="preserve">masave </w:t>
            </w:r>
            <w:proofErr w:type="spellStart"/>
            <w:r w:rsidR="00980FCF">
              <w:t>antidamping</w:t>
            </w:r>
            <w:proofErr w:type="spellEnd"/>
            <w:r w:rsidR="00980FCF">
              <w:t xml:space="preserve"> dhe masave </w:t>
            </w:r>
            <w:proofErr w:type="spellStart"/>
            <w:r w:rsidR="00980FCF">
              <w:t>kund</w:t>
            </w:r>
            <w:r w:rsidR="00E2780F">
              <w:t>ë</w:t>
            </w:r>
            <w:r w:rsidR="00980FCF">
              <w:t>rbalancuese</w:t>
            </w:r>
            <w:proofErr w:type="spellEnd"/>
            <w:r w:rsidR="00980FCF">
              <w:t xml:space="preserve"> </w:t>
            </w:r>
          </w:p>
        </w:tc>
      </w:tr>
      <w:tr w:rsidR="00FC649E" w:rsidRPr="00937662" w14:paraId="371821C8" w14:textId="77777777" w:rsidTr="00646EBE">
        <w:tc>
          <w:tcPr>
            <w:tcW w:w="2335" w:type="dxa"/>
          </w:tcPr>
          <w:p w14:paraId="24641400" w14:textId="77777777" w:rsidR="00FC649E" w:rsidRPr="00937662" w:rsidRDefault="00FC649E" w:rsidP="00646EBE">
            <w:pPr>
              <w:spacing w:before="120" w:after="120" w:line="276" w:lineRule="auto"/>
              <w:rPr>
                <w:rFonts w:cs="Times New Roman"/>
                <w:szCs w:val="24"/>
              </w:rPr>
            </w:pPr>
            <w:r w:rsidRPr="00937662">
              <w:t>Ministria përgjegjëse</w:t>
            </w:r>
          </w:p>
        </w:tc>
        <w:tc>
          <w:tcPr>
            <w:tcW w:w="7560" w:type="dxa"/>
          </w:tcPr>
          <w:p w14:paraId="2E601526" w14:textId="50D84A30" w:rsidR="00FC649E" w:rsidRPr="00937662" w:rsidRDefault="00737794" w:rsidP="00646EBE">
            <w:pPr>
              <w:spacing w:before="120" w:after="120" w:line="276" w:lineRule="auto"/>
              <w:rPr>
                <w:rFonts w:cs="Times New Roman"/>
                <w:szCs w:val="24"/>
              </w:rPr>
            </w:pPr>
            <w:r w:rsidRPr="00937662">
              <w:t xml:space="preserve">Ministria e Industrisë, </w:t>
            </w:r>
            <w:proofErr w:type="spellStart"/>
            <w:r w:rsidRPr="00937662">
              <w:t>Ndërmarrësisë</w:t>
            </w:r>
            <w:proofErr w:type="spellEnd"/>
            <w:r w:rsidRPr="00937662">
              <w:t xml:space="preserve"> dhe Tregtisë</w:t>
            </w:r>
          </w:p>
        </w:tc>
      </w:tr>
      <w:tr w:rsidR="00FC649E" w:rsidRPr="00937662" w14:paraId="730D27E6" w14:textId="77777777" w:rsidTr="00646EBE">
        <w:tc>
          <w:tcPr>
            <w:tcW w:w="2335" w:type="dxa"/>
          </w:tcPr>
          <w:p w14:paraId="33D4BA5E" w14:textId="77777777" w:rsidR="00FC649E" w:rsidRPr="00937662" w:rsidRDefault="00FC649E" w:rsidP="00646EBE">
            <w:pPr>
              <w:spacing w:before="120" w:after="120" w:line="276" w:lineRule="auto"/>
              <w:rPr>
                <w:rFonts w:cs="Times New Roman"/>
                <w:szCs w:val="24"/>
              </w:rPr>
            </w:pPr>
            <w:r w:rsidRPr="00937662">
              <w:t>Personi kontaktues</w:t>
            </w:r>
          </w:p>
        </w:tc>
        <w:tc>
          <w:tcPr>
            <w:tcW w:w="7560" w:type="dxa"/>
          </w:tcPr>
          <w:p w14:paraId="764C956B" w14:textId="352C5504" w:rsidR="00FC649E" w:rsidRPr="00937662" w:rsidRDefault="00980FCF" w:rsidP="001957A5">
            <w:pPr>
              <w:spacing w:before="120" w:after="120" w:line="276" w:lineRule="auto"/>
              <w:rPr>
                <w:rFonts w:cs="Times New Roman"/>
                <w:szCs w:val="24"/>
                <w:lang w:val="en-GB"/>
              </w:rPr>
            </w:pPr>
            <w:r>
              <w:t>Artan Demolli</w:t>
            </w:r>
            <w:r w:rsidR="00FC649E" w:rsidRPr="00937662">
              <w:t xml:space="preserve">, </w:t>
            </w:r>
            <w:r w:rsidR="00737794" w:rsidRPr="00937662">
              <w:t xml:space="preserve">Udhëheqës </w:t>
            </w:r>
            <w:r w:rsidR="00FC649E" w:rsidRPr="00937662">
              <w:t xml:space="preserve">i Divizionit </w:t>
            </w:r>
            <w:r>
              <w:t>për Mbrojtjen e Tregut</w:t>
            </w:r>
            <w:r w:rsidR="00891B67">
              <w:t>, Departamenti i Tregtisë</w:t>
            </w:r>
          </w:p>
        </w:tc>
      </w:tr>
      <w:tr w:rsidR="00FC649E" w:rsidRPr="00937662" w14:paraId="3D0C1649" w14:textId="77777777" w:rsidTr="00646EBE">
        <w:tc>
          <w:tcPr>
            <w:tcW w:w="2335" w:type="dxa"/>
          </w:tcPr>
          <w:p w14:paraId="5AC0A767" w14:textId="707719DB" w:rsidR="00FC649E" w:rsidRPr="00937662" w:rsidRDefault="00E846FE" w:rsidP="00646EBE">
            <w:pPr>
              <w:spacing w:before="120" w:after="120" w:line="276" w:lineRule="auto"/>
              <w:rPr>
                <w:rFonts w:cs="Times New Roman"/>
                <w:szCs w:val="24"/>
              </w:rPr>
            </w:pPr>
            <w:r>
              <w:t>PKZH</w:t>
            </w:r>
          </w:p>
        </w:tc>
        <w:tc>
          <w:tcPr>
            <w:tcW w:w="7560" w:type="dxa"/>
          </w:tcPr>
          <w:p w14:paraId="2BE2F635" w14:textId="028AA725" w:rsidR="00FC649E" w:rsidRPr="00937662" w:rsidRDefault="007F7570" w:rsidP="00B9448D">
            <w:pPr>
              <w:spacing w:before="120" w:after="120" w:line="276" w:lineRule="auto"/>
              <w:rPr>
                <w:rFonts w:cs="Times New Roman"/>
                <w:szCs w:val="24"/>
              </w:rPr>
            </w:pPr>
            <w:r>
              <w:t xml:space="preserve">Plani </w:t>
            </w:r>
            <w:proofErr w:type="spellStart"/>
            <w:r>
              <w:t>Kombetar</w:t>
            </w:r>
            <w:proofErr w:type="spellEnd"/>
            <w:r>
              <w:t xml:space="preserve"> për Zhvillim 2024-2026, Masa Strategjike 1.5.3. Reduktimi i importeve duke rritur prezencën e produkteve vendore në tregun vendor</w:t>
            </w:r>
          </w:p>
        </w:tc>
      </w:tr>
      <w:tr w:rsidR="00B9448D" w:rsidRPr="00937662" w14:paraId="639F8D43" w14:textId="77777777" w:rsidTr="00E2780F">
        <w:tc>
          <w:tcPr>
            <w:tcW w:w="2335" w:type="dxa"/>
            <w:tcBorders>
              <w:top w:val="single" w:sz="4" w:space="0" w:color="auto"/>
              <w:left w:val="single" w:sz="4" w:space="0" w:color="auto"/>
              <w:bottom w:val="single" w:sz="4" w:space="0" w:color="auto"/>
              <w:right w:val="single" w:sz="4" w:space="0" w:color="auto"/>
            </w:tcBorders>
          </w:tcPr>
          <w:p w14:paraId="13BFCFDB" w14:textId="216D23DC" w:rsidR="00B9448D" w:rsidRPr="00937662" w:rsidRDefault="00B9448D" w:rsidP="00B9448D">
            <w:pPr>
              <w:spacing w:before="120" w:after="120" w:line="276" w:lineRule="auto"/>
              <w:rPr>
                <w:rFonts w:cs="Times New Roman"/>
                <w:szCs w:val="24"/>
              </w:rPr>
            </w:pPr>
            <w:r w:rsidRPr="00937662">
              <w:t>Prioritet strategjik</w:t>
            </w:r>
          </w:p>
        </w:tc>
        <w:tc>
          <w:tcPr>
            <w:tcW w:w="7560" w:type="dxa"/>
            <w:tcBorders>
              <w:top w:val="single" w:sz="4" w:space="0" w:color="auto"/>
              <w:left w:val="single" w:sz="4" w:space="0" w:color="auto"/>
              <w:bottom w:val="single" w:sz="4" w:space="0" w:color="auto"/>
              <w:right w:val="single" w:sz="4" w:space="0" w:color="auto"/>
            </w:tcBorders>
          </w:tcPr>
          <w:p w14:paraId="595677B1" w14:textId="77777777" w:rsidR="00D254DD" w:rsidRDefault="00B9448D" w:rsidP="004B0CDC">
            <w:pPr>
              <w:spacing w:before="120" w:after="120" w:line="276" w:lineRule="auto"/>
            </w:pPr>
            <w:r w:rsidRPr="00891B67">
              <w:t xml:space="preserve">Programi Kombëtar për Zhvillim 2024-2026 </w:t>
            </w:r>
          </w:p>
          <w:p w14:paraId="14F6DEE6" w14:textId="77777777" w:rsidR="00D254DD" w:rsidRDefault="00B9448D" w:rsidP="004B0CDC">
            <w:pPr>
              <w:spacing w:before="120" w:after="120" w:line="276" w:lineRule="auto"/>
            </w:pPr>
            <w:r w:rsidRPr="00891B67">
              <w:t xml:space="preserve">Pika 1. Ekonomi digjitale, qarkore dhe konkurruese, </w:t>
            </w:r>
          </w:p>
          <w:p w14:paraId="683F68AC" w14:textId="5DD1DC58" w:rsidR="00B9448D" w:rsidRPr="00891B67" w:rsidRDefault="00B9448D" w:rsidP="00CC6829">
            <w:pPr>
              <w:spacing w:before="120" w:after="120" w:line="276" w:lineRule="auto"/>
              <w:ind w:left="720"/>
              <w:rPr>
                <w:rFonts w:cs="Times New Roman"/>
                <w:szCs w:val="24"/>
                <w:lang w:val="en-GB"/>
              </w:rPr>
            </w:pPr>
            <w:r w:rsidRPr="00891B67">
              <w:t>1.3 Zhvillimi i industrisë drejt produkteve dhe shërbimeve me vlerë të shtuar</w:t>
            </w:r>
          </w:p>
        </w:tc>
      </w:tr>
      <w:tr w:rsidR="00FC649E" w:rsidRPr="00937662" w14:paraId="66517EA2" w14:textId="77777777" w:rsidTr="00646EBE">
        <w:tc>
          <w:tcPr>
            <w:tcW w:w="2335" w:type="dxa"/>
          </w:tcPr>
          <w:p w14:paraId="7AFB2A10" w14:textId="77777777" w:rsidR="00FC649E" w:rsidRPr="00937662" w:rsidRDefault="00FC649E" w:rsidP="00646EBE">
            <w:pPr>
              <w:spacing w:before="120" w:after="120" w:line="276" w:lineRule="auto"/>
              <w:rPr>
                <w:rFonts w:cs="Times New Roman"/>
                <w:szCs w:val="24"/>
              </w:rPr>
            </w:pPr>
            <w:r w:rsidRPr="00937662">
              <w:t>Grupi punues</w:t>
            </w:r>
          </w:p>
        </w:tc>
        <w:tc>
          <w:tcPr>
            <w:tcW w:w="7560" w:type="dxa"/>
          </w:tcPr>
          <w:p w14:paraId="1089A924" w14:textId="77777777" w:rsidR="00FC649E" w:rsidRPr="00937662" w:rsidRDefault="00FC649E" w:rsidP="00646EBE">
            <w:pPr>
              <w:spacing w:before="120" w:after="120" w:line="276" w:lineRule="auto"/>
              <w:jc w:val="both"/>
              <w:rPr>
                <w:rFonts w:cs="Times New Roman"/>
                <w:b/>
                <w:bCs/>
                <w:szCs w:val="24"/>
              </w:rPr>
            </w:pPr>
            <w:r w:rsidRPr="00937662">
              <w:rPr>
                <w:b/>
              </w:rPr>
              <w:t xml:space="preserve">Përfaqësuesit e ministrive të linjës, agjencive ose profesioneve të mëposhtme: </w:t>
            </w:r>
          </w:p>
          <w:p w14:paraId="0C2A9157" w14:textId="4B4C41BB" w:rsidR="00FC649E" w:rsidRPr="00937662" w:rsidRDefault="00B9448D" w:rsidP="00FC649E">
            <w:pPr>
              <w:pStyle w:val="ListParagraph"/>
              <w:numPr>
                <w:ilvl w:val="0"/>
                <w:numId w:val="4"/>
              </w:numPr>
              <w:spacing w:before="120" w:after="120" w:line="276" w:lineRule="auto"/>
              <w:jc w:val="both"/>
              <w:rPr>
                <w:rFonts w:cs="Times New Roman"/>
                <w:szCs w:val="24"/>
              </w:rPr>
            </w:pPr>
            <w:r>
              <w:t>Artan Demolli</w:t>
            </w:r>
            <w:r w:rsidRPr="00937662">
              <w:t xml:space="preserve"> </w:t>
            </w:r>
            <w:r w:rsidR="000F6C28">
              <w:t>–</w:t>
            </w:r>
            <w:r w:rsidRPr="00937662">
              <w:t xml:space="preserve"> </w:t>
            </w:r>
            <w:r w:rsidR="00A87572" w:rsidRPr="00937662">
              <w:t>M</w:t>
            </w:r>
            <w:r w:rsidR="00A87572">
              <w:t>INT,</w:t>
            </w:r>
            <w:r w:rsidR="00A87572" w:rsidRPr="00937662">
              <w:t xml:space="preserve"> </w:t>
            </w:r>
            <w:r w:rsidRPr="00937662">
              <w:t>kryesues</w:t>
            </w:r>
            <w:r w:rsidR="00A87572">
              <w:t>;</w:t>
            </w:r>
            <w:r w:rsidR="00FC649E" w:rsidRPr="00937662">
              <w:t xml:space="preserve"> </w:t>
            </w:r>
          </w:p>
          <w:p w14:paraId="5816601D" w14:textId="762FD01F" w:rsidR="00FC649E" w:rsidRPr="00937662" w:rsidRDefault="00B9448D" w:rsidP="00FC649E">
            <w:pPr>
              <w:pStyle w:val="ListParagraph"/>
              <w:numPr>
                <w:ilvl w:val="0"/>
                <w:numId w:val="4"/>
              </w:numPr>
              <w:spacing w:before="120" w:after="120" w:line="276" w:lineRule="auto"/>
              <w:jc w:val="both"/>
              <w:rPr>
                <w:rFonts w:cs="Times New Roman"/>
                <w:szCs w:val="24"/>
              </w:rPr>
            </w:pPr>
            <w:r>
              <w:t>Merita Fetahu</w:t>
            </w:r>
            <w:r w:rsidR="000F6C28">
              <w:t xml:space="preserve"> – </w:t>
            </w:r>
            <w:r w:rsidR="00A87572">
              <w:t xml:space="preserve">MINT, </w:t>
            </w:r>
            <w:r w:rsidR="000F6C28">
              <w:t>anëtare</w:t>
            </w:r>
            <w:r w:rsidR="00A87572">
              <w:t>;</w:t>
            </w:r>
            <w:r w:rsidR="000F6C28">
              <w:t xml:space="preserve"> </w:t>
            </w:r>
          </w:p>
          <w:p w14:paraId="6D722A80" w14:textId="703D7C89" w:rsidR="00FC649E" w:rsidRPr="00937662" w:rsidRDefault="00A87572" w:rsidP="00FC649E">
            <w:pPr>
              <w:pStyle w:val="ListParagraph"/>
              <w:numPr>
                <w:ilvl w:val="0"/>
                <w:numId w:val="4"/>
              </w:numPr>
              <w:spacing w:before="120" w:after="120" w:line="276" w:lineRule="auto"/>
              <w:jc w:val="both"/>
              <w:rPr>
                <w:rFonts w:cs="Times New Roman"/>
                <w:szCs w:val="24"/>
              </w:rPr>
            </w:pPr>
            <w:r>
              <w:t>Arjeta Islami- MINT,</w:t>
            </w:r>
            <w:r w:rsidRPr="00937662">
              <w:t xml:space="preserve"> </w:t>
            </w:r>
            <w:r w:rsidR="00FC649E" w:rsidRPr="00937662">
              <w:t>anëtar</w:t>
            </w:r>
            <w:r>
              <w:t xml:space="preserve">e; </w:t>
            </w:r>
          </w:p>
          <w:p w14:paraId="4FD554E7" w14:textId="064BD50E" w:rsidR="00FC649E" w:rsidRPr="00937662" w:rsidRDefault="0012662F" w:rsidP="001D518F">
            <w:pPr>
              <w:pStyle w:val="ListParagraph"/>
              <w:numPr>
                <w:ilvl w:val="0"/>
                <w:numId w:val="4"/>
              </w:numPr>
              <w:spacing w:before="120" w:after="120" w:line="276" w:lineRule="auto"/>
              <w:jc w:val="both"/>
              <w:rPr>
                <w:rFonts w:cs="Times New Roman"/>
                <w:szCs w:val="24"/>
              </w:rPr>
            </w:pPr>
            <w:r>
              <w:t>Merlinda Ramaj</w:t>
            </w:r>
            <w:r w:rsidR="00A87572">
              <w:t>– MINT, anëtare;</w:t>
            </w:r>
          </w:p>
          <w:p w14:paraId="46270B0B" w14:textId="52BBAB44" w:rsidR="00FC649E" w:rsidRPr="00937662" w:rsidRDefault="00A87572" w:rsidP="00FC649E">
            <w:pPr>
              <w:pStyle w:val="ListParagraph"/>
              <w:numPr>
                <w:ilvl w:val="0"/>
                <w:numId w:val="4"/>
              </w:numPr>
              <w:spacing w:before="120" w:after="120" w:line="276" w:lineRule="auto"/>
              <w:jc w:val="both"/>
              <w:rPr>
                <w:rFonts w:cs="Times New Roman"/>
                <w:szCs w:val="24"/>
              </w:rPr>
            </w:pPr>
            <w:r>
              <w:t>Muhamet Hashani</w:t>
            </w:r>
            <w:r w:rsidR="00FC649E" w:rsidRPr="00937662">
              <w:t xml:space="preserve"> </w:t>
            </w:r>
            <w:r>
              <w:t>–</w:t>
            </w:r>
            <w:r w:rsidR="00FC649E" w:rsidRPr="00937662">
              <w:t xml:space="preserve"> MI</w:t>
            </w:r>
            <w:r>
              <w:t xml:space="preserve">NT, </w:t>
            </w:r>
            <w:r w:rsidR="00FC649E" w:rsidRPr="00937662">
              <w:t>anëtar;</w:t>
            </w:r>
          </w:p>
          <w:p w14:paraId="62DF78C4" w14:textId="74B8FED8" w:rsidR="00FC649E" w:rsidRPr="00937662" w:rsidRDefault="00A87572" w:rsidP="00FC649E">
            <w:pPr>
              <w:pStyle w:val="ListParagraph"/>
              <w:numPr>
                <w:ilvl w:val="0"/>
                <w:numId w:val="4"/>
              </w:numPr>
              <w:spacing w:before="120" w:after="120" w:line="276" w:lineRule="auto"/>
              <w:jc w:val="both"/>
              <w:rPr>
                <w:rFonts w:cs="Times New Roman"/>
                <w:szCs w:val="24"/>
              </w:rPr>
            </w:pPr>
            <w:r>
              <w:t>Lindita Rashiti</w:t>
            </w:r>
            <w:r w:rsidR="00FC649E" w:rsidRPr="00937662">
              <w:t xml:space="preserve"> - M</w:t>
            </w:r>
            <w:r>
              <w:t>IN</w:t>
            </w:r>
            <w:r w:rsidR="00FC649E" w:rsidRPr="00937662">
              <w:t>T, anëtar</w:t>
            </w:r>
            <w:r>
              <w:t>e</w:t>
            </w:r>
            <w:r w:rsidR="00FC649E" w:rsidRPr="00937662">
              <w:t>;</w:t>
            </w:r>
          </w:p>
          <w:p w14:paraId="3228D3E4" w14:textId="0409F7FA" w:rsidR="00FC649E" w:rsidRPr="00937662" w:rsidRDefault="00A87572" w:rsidP="001D518F">
            <w:pPr>
              <w:pStyle w:val="ListParagraph"/>
              <w:numPr>
                <w:ilvl w:val="0"/>
                <w:numId w:val="4"/>
              </w:numPr>
              <w:spacing w:before="120" w:after="120" w:line="276" w:lineRule="auto"/>
              <w:jc w:val="both"/>
              <w:rPr>
                <w:rFonts w:cs="Times New Roman"/>
                <w:szCs w:val="24"/>
              </w:rPr>
            </w:pPr>
            <w:r>
              <w:t>Esad Demaku</w:t>
            </w:r>
            <w:r w:rsidR="00FC649E" w:rsidRPr="00937662">
              <w:t xml:space="preserve"> - </w:t>
            </w:r>
            <w:r>
              <w:t>MINT</w:t>
            </w:r>
            <w:r w:rsidR="00FC649E" w:rsidRPr="00937662">
              <w:t>, anëtar;</w:t>
            </w:r>
          </w:p>
          <w:p w14:paraId="63559FC0" w14:textId="69EFCC0A" w:rsidR="00FC649E" w:rsidRPr="00A87572" w:rsidRDefault="00A87572" w:rsidP="00FC649E">
            <w:pPr>
              <w:pStyle w:val="ListParagraph"/>
              <w:numPr>
                <w:ilvl w:val="0"/>
                <w:numId w:val="4"/>
              </w:numPr>
              <w:rPr>
                <w:rFonts w:cs="Times New Roman"/>
                <w:szCs w:val="24"/>
              </w:rPr>
            </w:pPr>
            <w:r>
              <w:t xml:space="preserve">Fitore </w:t>
            </w:r>
            <w:proofErr w:type="spellStart"/>
            <w:r>
              <w:t>Mehmeti</w:t>
            </w:r>
            <w:proofErr w:type="spellEnd"/>
            <w:r w:rsidR="00FC649E" w:rsidRPr="00937662">
              <w:t xml:space="preserve"> </w:t>
            </w:r>
            <w:r>
              <w:t>–</w:t>
            </w:r>
            <w:r w:rsidR="00FC649E" w:rsidRPr="00937662">
              <w:t xml:space="preserve"> </w:t>
            </w:r>
            <w:r>
              <w:t>Dogana e Kosovës</w:t>
            </w:r>
            <w:r w:rsidR="00FC649E" w:rsidRPr="00937662">
              <w:t>, anëtar</w:t>
            </w:r>
            <w:r>
              <w:t>e</w:t>
            </w:r>
            <w:r w:rsidR="00FC649E" w:rsidRPr="00937662">
              <w:t>;</w:t>
            </w:r>
          </w:p>
          <w:p w14:paraId="2F7397CA" w14:textId="7D6CD693" w:rsidR="00A87572" w:rsidRPr="00A87572" w:rsidRDefault="00A87572" w:rsidP="00FC649E">
            <w:pPr>
              <w:pStyle w:val="ListParagraph"/>
              <w:numPr>
                <w:ilvl w:val="0"/>
                <w:numId w:val="4"/>
              </w:numPr>
              <w:rPr>
                <w:rFonts w:cs="Times New Roman"/>
                <w:szCs w:val="24"/>
              </w:rPr>
            </w:pPr>
            <w:r>
              <w:t>Nehat Rrahimi – Ministria e Ekonomisë, anëtar;</w:t>
            </w:r>
          </w:p>
          <w:p w14:paraId="5370BEEF" w14:textId="780BE30B" w:rsidR="00A87572" w:rsidRPr="00A87572" w:rsidRDefault="00A87572" w:rsidP="00FC649E">
            <w:pPr>
              <w:pStyle w:val="ListParagraph"/>
              <w:numPr>
                <w:ilvl w:val="0"/>
                <w:numId w:val="4"/>
              </w:numPr>
              <w:rPr>
                <w:rFonts w:cs="Times New Roman"/>
                <w:szCs w:val="24"/>
              </w:rPr>
            </w:pPr>
            <w:proofErr w:type="spellStart"/>
            <w:r>
              <w:lastRenderedPageBreak/>
              <w:t>Ferid</w:t>
            </w:r>
            <w:proofErr w:type="spellEnd"/>
            <w:r>
              <w:t xml:space="preserve"> Sylejmani – ATK, anëtar;</w:t>
            </w:r>
          </w:p>
          <w:p w14:paraId="7B1225BD" w14:textId="1DE3D034" w:rsidR="00A87572" w:rsidRPr="00A87572" w:rsidRDefault="00A87572" w:rsidP="00FC649E">
            <w:pPr>
              <w:pStyle w:val="ListParagraph"/>
              <w:numPr>
                <w:ilvl w:val="0"/>
                <w:numId w:val="4"/>
              </w:numPr>
              <w:rPr>
                <w:rFonts w:cs="Times New Roman"/>
                <w:szCs w:val="24"/>
              </w:rPr>
            </w:pPr>
            <w:r>
              <w:t xml:space="preserve">Lindita Toçi – Ministria e Financave dhe </w:t>
            </w:r>
            <w:proofErr w:type="spellStart"/>
            <w:r>
              <w:t>Transfereve</w:t>
            </w:r>
            <w:proofErr w:type="spellEnd"/>
            <w:r>
              <w:t>, anëtare;</w:t>
            </w:r>
          </w:p>
          <w:p w14:paraId="47B72359" w14:textId="3F18A0BC" w:rsidR="00A87572" w:rsidRPr="00A87572" w:rsidRDefault="00A87572" w:rsidP="00FC649E">
            <w:pPr>
              <w:pStyle w:val="ListParagraph"/>
              <w:numPr>
                <w:ilvl w:val="0"/>
                <w:numId w:val="4"/>
              </w:numPr>
              <w:rPr>
                <w:rFonts w:cs="Times New Roman"/>
                <w:szCs w:val="24"/>
              </w:rPr>
            </w:pPr>
            <w:r>
              <w:t>Gentiana Petrova – AUV, anëtare;</w:t>
            </w:r>
          </w:p>
          <w:p w14:paraId="66DE855B" w14:textId="28D46C51" w:rsidR="00FC649E" w:rsidRPr="00A87572" w:rsidRDefault="00A87572" w:rsidP="00FC649E">
            <w:pPr>
              <w:pStyle w:val="ListParagraph"/>
              <w:numPr>
                <w:ilvl w:val="0"/>
                <w:numId w:val="4"/>
              </w:numPr>
              <w:spacing w:before="120" w:after="120" w:line="276" w:lineRule="auto"/>
              <w:jc w:val="both"/>
              <w:rPr>
                <w:rFonts w:cs="Times New Roman"/>
                <w:szCs w:val="24"/>
              </w:rPr>
            </w:pPr>
            <w:r>
              <w:t>Habit Hajredini – SKQ,  anëtar</w:t>
            </w:r>
            <w:r w:rsidR="00665CE6">
              <w:t>;</w:t>
            </w:r>
          </w:p>
          <w:p w14:paraId="13CC2BF1" w14:textId="784C196B" w:rsidR="00A87572" w:rsidRPr="00A87572" w:rsidRDefault="00A87572" w:rsidP="00FC649E">
            <w:pPr>
              <w:pStyle w:val="ListParagraph"/>
              <w:numPr>
                <w:ilvl w:val="0"/>
                <w:numId w:val="4"/>
              </w:numPr>
              <w:spacing w:before="120" w:after="120" w:line="276" w:lineRule="auto"/>
              <w:jc w:val="both"/>
              <w:rPr>
                <w:rFonts w:cs="Times New Roman"/>
                <w:szCs w:val="24"/>
              </w:rPr>
            </w:pPr>
            <w:r>
              <w:t>Liridona Hoti – ZL ZKM, anëtare</w:t>
            </w:r>
            <w:r w:rsidR="00665CE6">
              <w:t>;</w:t>
            </w:r>
          </w:p>
          <w:p w14:paraId="3F0CCC6C" w14:textId="1A780E57" w:rsidR="00A87572" w:rsidRPr="00A87572" w:rsidRDefault="00A87572" w:rsidP="00FC649E">
            <w:pPr>
              <w:pStyle w:val="ListParagraph"/>
              <w:numPr>
                <w:ilvl w:val="0"/>
                <w:numId w:val="4"/>
              </w:numPr>
              <w:spacing w:before="120" w:after="120" w:line="276" w:lineRule="auto"/>
              <w:jc w:val="both"/>
              <w:rPr>
                <w:rFonts w:cs="Times New Roman"/>
                <w:szCs w:val="24"/>
              </w:rPr>
            </w:pPr>
            <w:r>
              <w:t>Violeta Syla – ASK, anëtare</w:t>
            </w:r>
            <w:r w:rsidR="00665CE6">
              <w:t>;</w:t>
            </w:r>
          </w:p>
          <w:p w14:paraId="1C326CBB" w14:textId="0ACAEBD0" w:rsidR="00A87572" w:rsidRPr="00937662" w:rsidRDefault="00A87572" w:rsidP="00FC649E">
            <w:pPr>
              <w:pStyle w:val="ListParagraph"/>
              <w:numPr>
                <w:ilvl w:val="0"/>
                <w:numId w:val="4"/>
              </w:numPr>
              <w:spacing w:before="120" w:after="120" w:line="276" w:lineRule="auto"/>
              <w:jc w:val="both"/>
              <w:rPr>
                <w:rFonts w:cs="Times New Roman"/>
                <w:szCs w:val="24"/>
              </w:rPr>
            </w:pPr>
            <w:r>
              <w:t>Bekim Cikaqi – MBPZHR, anëtar</w:t>
            </w:r>
            <w:r w:rsidR="00665CE6">
              <w:t>;</w:t>
            </w:r>
          </w:p>
          <w:p w14:paraId="2A825DB4" w14:textId="25C533A0" w:rsidR="00FC649E" w:rsidRPr="00937662" w:rsidRDefault="00A87572" w:rsidP="00A87572">
            <w:pPr>
              <w:pStyle w:val="ListParagraph"/>
              <w:numPr>
                <w:ilvl w:val="0"/>
                <w:numId w:val="4"/>
              </w:numPr>
              <w:spacing w:before="120" w:after="120" w:line="276" w:lineRule="auto"/>
              <w:jc w:val="both"/>
              <w:rPr>
                <w:rFonts w:cs="Times New Roman"/>
                <w:szCs w:val="24"/>
              </w:rPr>
            </w:pPr>
            <w:r>
              <w:t>Lumnije Hashani – Oda Ekonomike, anëtare</w:t>
            </w:r>
            <w:r w:rsidR="00665CE6">
              <w:t>.</w:t>
            </w:r>
          </w:p>
        </w:tc>
      </w:tr>
      <w:tr w:rsidR="00FC649E" w:rsidRPr="00937662" w14:paraId="48259D18" w14:textId="77777777" w:rsidTr="00646EBE">
        <w:tc>
          <w:tcPr>
            <w:tcW w:w="2335" w:type="dxa"/>
          </w:tcPr>
          <w:p w14:paraId="5F73FF31" w14:textId="5581F675" w:rsidR="00FC649E" w:rsidRPr="00937662" w:rsidRDefault="00FC649E" w:rsidP="00646EBE">
            <w:pPr>
              <w:spacing w:before="120" w:after="120" w:line="276" w:lineRule="auto"/>
              <w:rPr>
                <w:rFonts w:cs="Times New Roman"/>
                <w:szCs w:val="24"/>
              </w:rPr>
            </w:pPr>
            <w:r w:rsidRPr="00937662">
              <w:lastRenderedPageBreak/>
              <w:t>Informata shtesë</w:t>
            </w:r>
          </w:p>
        </w:tc>
        <w:tc>
          <w:tcPr>
            <w:tcW w:w="7560" w:type="dxa"/>
          </w:tcPr>
          <w:p w14:paraId="0011DBB0" w14:textId="044E1F57" w:rsidR="00FC649E" w:rsidRPr="00937662" w:rsidRDefault="00891B67" w:rsidP="00496DE3">
            <w:pPr>
              <w:spacing w:before="120" w:after="120" w:line="276" w:lineRule="auto"/>
              <w:jc w:val="both"/>
              <w:rPr>
                <w:rFonts w:cs="Times New Roman"/>
                <w:szCs w:val="24"/>
              </w:rPr>
            </w:pPr>
            <w:r>
              <w:t xml:space="preserve">Nuk ka informata shtesë </w:t>
            </w:r>
          </w:p>
        </w:tc>
      </w:tr>
    </w:tbl>
    <w:p w14:paraId="130B21BD" w14:textId="1B86654C" w:rsidR="00FC649E" w:rsidRPr="00937662" w:rsidRDefault="00FC649E" w:rsidP="00FC649E">
      <w:pPr>
        <w:pStyle w:val="Heading1"/>
        <w:spacing w:line="276" w:lineRule="auto"/>
        <w:rPr>
          <w:rFonts w:ascii="Times New Roman" w:hAnsi="Times New Roman"/>
          <w:b/>
        </w:rPr>
      </w:pPr>
      <w:bookmarkStart w:id="3" w:name="_Toc69198217"/>
      <w:r w:rsidRPr="00937662">
        <w:rPr>
          <w:rFonts w:ascii="Times New Roman" w:hAnsi="Times New Roman"/>
          <w:b/>
        </w:rPr>
        <w:t>Kapitulli 1: Përkufizimi i problemit</w:t>
      </w:r>
      <w:bookmarkEnd w:id="3"/>
    </w:p>
    <w:p w14:paraId="5DD2C8EA" w14:textId="2DB5F59C" w:rsidR="00F828C1" w:rsidRDefault="00F828C1" w:rsidP="00F828C1">
      <w:pPr>
        <w:jc w:val="both"/>
      </w:pPr>
      <w:r>
        <w:t xml:space="preserve">Në maj të vitit 2014, Kuvendi </w:t>
      </w:r>
      <w:r w:rsidR="008156DD">
        <w:t xml:space="preserve">i </w:t>
      </w:r>
      <w:proofErr w:type="spellStart"/>
      <w:r w:rsidR="008156DD">
        <w:t>Republikes</w:t>
      </w:r>
      <w:proofErr w:type="spellEnd"/>
      <w:r w:rsidR="008156DD">
        <w:t xml:space="preserve"> së Kosovës </w:t>
      </w:r>
      <w:r>
        <w:t xml:space="preserve">miratoi Ligjin për Masat </w:t>
      </w:r>
      <w:proofErr w:type="spellStart"/>
      <w:r>
        <w:t>Antidamping</w:t>
      </w:r>
      <w:proofErr w:type="spellEnd"/>
      <w:r>
        <w:t xml:space="preserve"> dhe Masat </w:t>
      </w:r>
      <w:proofErr w:type="spellStart"/>
      <w:r>
        <w:t>Kundërbalancuese</w:t>
      </w:r>
      <w:proofErr w:type="spellEnd"/>
      <w:r>
        <w:t xml:space="preserve">, pasi që Ligji i mëparshëm për Masat </w:t>
      </w:r>
      <w:proofErr w:type="spellStart"/>
      <w:r>
        <w:t>Antidamping</w:t>
      </w:r>
      <w:proofErr w:type="spellEnd"/>
      <w:r>
        <w:t xml:space="preserve"> dhe </w:t>
      </w:r>
      <w:proofErr w:type="spellStart"/>
      <w:r>
        <w:t>Kundërbalancuese</w:t>
      </w:r>
      <w:proofErr w:type="spellEnd"/>
      <w:r>
        <w:t xml:space="preserve"> (03/L-097) nuk ishte në përputhje të plotë me rregullat e OBT-së. Ligji i ri ka pasur për synim që të jetë në përputhje me korpusin e OBT-së për mjetet juridike tregtare (që mbulon kushtet thelbësore për vendosjen e masave dhe kërkesat procedurale).</w:t>
      </w:r>
    </w:p>
    <w:p w14:paraId="22BD0582" w14:textId="1DB54B8B" w:rsidR="009839BA" w:rsidRDefault="00F828C1" w:rsidP="00F828C1">
      <w:pPr>
        <w:jc w:val="both"/>
      </w:pPr>
      <w:r>
        <w:t xml:space="preserve">Për të qenë plotësisht në përputhje me dispozitat e OBT-së për mjetet juridike tregtare, një ligj për masat juridike tregtare duhet të përfshijë të gjitha detyrimet që përmbajnë këto dispozita. </w:t>
      </w:r>
      <w:r w:rsidR="00780A2E">
        <w:t>R</w:t>
      </w:r>
      <w:r>
        <w:t>regullat e OBT-së përcaktojnë disiplinat bazë që secili vend duhet t'u përmbahet nëse duan të vendosin masa korrigjuese tregtare. Si</w:t>
      </w:r>
      <w:r w:rsidR="00804EBF">
        <w:t xml:space="preserve">doqoftë disa </w:t>
      </w:r>
      <w:proofErr w:type="spellStart"/>
      <w:r w:rsidR="00804EBF">
        <w:t>dipozita</w:t>
      </w:r>
      <w:proofErr w:type="spellEnd"/>
      <w:r w:rsidR="00804EBF">
        <w:t xml:space="preserve"> dhe </w:t>
      </w:r>
      <w:proofErr w:type="spellStart"/>
      <w:r w:rsidR="00804EBF">
        <w:t>marreveshje</w:t>
      </w:r>
      <w:proofErr w:type="spellEnd"/>
      <w:r w:rsidR="00804EBF">
        <w:t xml:space="preserve"> të OBT-se iu krijojnë hapësirë qe secili </w:t>
      </w:r>
      <w:r w:rsidR="00F37EC7">
        <w:t>shtet</w:t>
      </w:r>
      <w:r w:rsidR="00804EBF">
        <w:t xml:space="preserve"> te vendos ne baze te rrethanave dhe specifikave te t</w:t>
      </w:r>
      <w:r w:rsidR="00F37EC7">
        <w:t>ije</w:t>
      </w:r>
      <w:r w:rsidR="00804EBF">
        <w:t xml:space="preserve"> por me kusht qe tu </w:t>
      </w:r>
      <w:proofErr w:type="spellStart"/>
      <w:r w:rsidR="00804EBF">
        <w:t>permbahen</w:t>
      </w:r>
      <w:proofErr w:type="spellEnd"/>
      <w:r w:rsidR="00804EBF">
        <w:t xml:space="preserve"> detyrimeve baze te dispozitave te OBT-se</w:t>
      </w:r>
      <w:r>
        <w:t>.</w:t>
      </w:r>
    </w:p>
    <w:p w14:paraId="1FF79292" w14:textId="7D28015E" w:rsidR="00F828C1" w:rsidRDefault="00F828C1" w:rsidP="00F828C1">
      <w:r>
        <w:t xml:space="preserve">Ligji aktual është një përzierje e Marrëveshjes së OBT-së për Zbatimin e Nenit VI të Marrëveshjes së Përgjithshme mbi Tarifat dhe Tregtinë 1994 (Marrëveshja </w:t>
      </w:r>
      <w:proofErr w:type="spellStart"/>
      <w:r>
        <w:t>Antidamping</w:t>
      </w:r>
      <w:proofErr w:type="spellEnd"/>
      <w:r>
        <w:t xml:space="preserve">), dhe Marrëveshja për Subvencionet dhe Masat </w:t>
      </w:r>
      <w:proofErr w:type="spellStart"/>
      <w:r>
        <w:t>Kundërbalancuese</w:t>
      </w:r>
      <w:proofErr w:type="spellEnd"/>
      <w:r>
        <w:t xml:space="preserve"> (ASCM). Këto dy marrëveshje kanë disa dispozita të përbashkëta</w:t>
      </w:r>
      <w:r w:rsidR="00ED113B">
        <w:t>,</w:t>
      </w:r>
      <w:r>
        <w:t xml:space="preserve"> </w:t>
      </w:r>
      <w:r w:rsidR="00ED113B">
        <w:t>p</w:t>
      </w:r>
      <w:r>
        <w:t xml:space="preserve">ër më tepër, ASCM përmban dispozita për subvencionet që nuk kanë të bëjnë me masat </w:t>
      </w:r>
      <w:proofErr w:type="spellStart"/>
      <w:r>
        <w:t>kundërbalancuese</w:t>
      </w:r>
      <w:proofErr w:type="spellEnd"/>
      <w:r>
        <w:t>. Kjo shpjegon pse ligji aktual është dukshëm më i shkurtër se këto dy marrëveshje së bashku.</w:t>
      </w:r>
    </w:p>
    <w:p w14:paraId="3DF4F642" w14:textId="54D4EE65" w:rsidR="00A4142A" w:rsidRDefault="00F828C1" w:rsidP="009839BA">
      <w:r>
        <w:t xml:space="preserve">Megjithatë, </w:t>
      </w:r>
      <w:r w:rsidR="00A4142A">
        <w:t>sa i përket detyrimeve bazë të OBT</w:t>
      </w:r>
      <w:r w:rsidR="003B085F">
        <w:t xml:space="preserve">-së, </w:t>
      </w:r>
      <w:r w:rsidR="00AB6947" w:rsidRPr="00AB6947">
        <w:t xml:space="preserve">ligji ngatërron rregullat e përhershme për aplikimet (të cilat shërbejnë për të përcaktuar nëse </w:t>
      </w:r>
      <w:proofErr w:type="spellStart"/>
      <w:r w:rsidR="00AB6947" w:rsidRPr="00AB6947">
        <w:t>aplikantët</w:t>
      </w:r>
      <w:proofErr w:type="spellEnd"/>
      <w:r w:rsidR="00AB6947" w:rsidRPr="00AB6947">
        <w:t xml:space="preserve"> kanë status ose përfaqësim të mjaftueshëm për të paraqitur një aplikim) dhe përkufizimin e industrisë vendore për të përcaktuar nëse industria në fjalë është dëmtuar (që është kusht thelbësor për zbatimin e mjeteve juridike tregtare).</w:t>
      </w:r>
    </w:p>
    <w:p w14:paraId="07CA6965" w14:textId="4B4B3382" w:rsidR="00F56C86" w:rsidRDefault="00F56C86" w:rsidP="009839BA"/>
    <w:p w14:paraId="1F03DC5E" w14:textId="07DF45DD" w:rsidR="00F56C86" w:rsidRDefault="00F56C86" w:rsidP="009839BA"/>
    <w:p w14:paraId="1B87DB6C" w14:textId="77777777" w:rsidR="00F56C86" w:rsidRDefault="00F56C86" w:rsidP="009839BA"/>
    <w:p w14:paraId="066E67D8" w14:textId="50FF9557" w:rsidR="00581A05" w:rsidRPr="00581A05" w:rsidRDefault="001F2FC9" w:rsidP="00581A05">
      <w:pPr>
        <w:keepNext/>
        <w:spacing w:after="200" w:line="240" w:lineRule="auto"/>
        <w:rPr>
          <w:b/>
          <w:i/>
          <w:iCs/>
          <w:color w:val="2E74B5" w:themeColor="accent1" w:themeShade="BF"/>
          <w:szCs w:val="24"/>
        </w:rPr>
      </w:pPr>
      <w:r>
        <w:rPr>
          <w:b/>
          <w:i/>
          <w:iCs/>
          <w:color w:val="2E74B5" w:themeColor="accent1" w:themeShade="BF"/>
          <w:szCs w:val="24"/>
        </w:rPr>
        <w:lastRenderedPageBreak/>
        <w:t>Tabela 2</w:t>
      </w:r>
      <w:r w:rsidR="00581A05" w:rsidRPr="00581A05">
        <w:rPr>
          <w:b/>
          <w:i/>
          <w:iCs/>
          <w:color w:val="2E74B5" w:themeColor="accent1" w:themeShade="BF"/>
          <w:szCs w:val="24"/>
        </w:rPr>
        <w:t>: Pema e problemit që e paraqet problemin kryesor, shkaqet dhe efektet e tij</w:t>
      </w:r>
    </w:p>
    <w:p w14:paraId="54927813" w14:textId="77777777" w:rsidR="00581A05" w:rsidRPr="00581A05" w:rsidRDefault="00581A05" w:rsidP="00581A05"/>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7445"/>
      </w:tblGrid>
      <w:tr w:rsidR="00581A05" w:rsidRPr="00581A05" w14:paraId="39405C47" w14:textId="77777777" w:rsidTr="008A44E6">
        <w:tc>
          <w:tcPr>
            <w:tcW w:w="1393" w:type="dxa"/>
            <w:vMerge w:val="restart"/>
            <w:shd w:val="clear" w:color="auto" w:fill="9CC2E5" w:themeFill="accent1" w:themeFillTint="99"/>
          </w:tcPr>
          <w:p w14:paraId="121549FF" w14:textId="77777777" w:rsidR="00581A05" w:rsidRPr="00581A05" w:rsidRDefault="00581A05" w:rsidP="00581A05">
            <w:pPr>
              <w:spacing w:after="0" w:line="276" w:lineRule="auto"/>
              <w:jc w:val="center"/>
              <w:rPr>
                <w:rFonts w:cs="Times New Roman"/>
                <w:b/>
                <w:color w:val="000000" w:themeColor="text1"/>
                <w:szCs w:val="24"/>
              </w:rPr>
            </w:pPr>
          </w:p>
          <w:p w14:paraId="55C46DFD" w14:textId="77777777" w:rsidR="00581A05" w:rsidRPr="00581A05" w:rsidRDefault="00581A05" w:rsidP="00581A05">
            <w:pPr>
              <w:spacing w:after="0" w:line="276" w:lineRule="auto"/>
              <w:jc w:val="center"/>
              <w:rPr>
                <w:rFonts w:cs="Times New Roman"/>
                <w:b/>
                <w:color w:val="000000" w:themeColor="text1"/>
                <w:szCs w:val="24"/>
              </w:rPr>
            </w:pPr>
          </w:p>
          <w:p w14:paraId="6BBC5F25" w14:textId="77777777" w:rsidR="00581A05" w:rsidRPr="00581A05" w:rsidRDefault="00581A05" w:rsidP="00581A05">
            <w:pPr>
              <w:spacing w:after="0" w:line="276" w:lineRule="auto"/>
              <w:jc w:val="center"/>
              <w:rPr>
                <w:rFonts w:cs="Times New Roman"/>
                <w:b/>
                <w:color w:val="000000" w:themeColor="text1"/>
                <w:szCs w:val="24"/>
              </w:rPr>
            </w:pPr>
            <w:r w:rsidRPr="00581A05">
              <w:rPr>
                <w:b/>
                <w:color w:val="000000" w:themeColor="text1"/>
              </w:rPr>
              <w:t>Efektet</w:t>
            </w:r>
          </w:p>
        </w:tc>
        <w:tc>
          <w:tcPr>
            <w:tcW w:w="7445" w:type="dxa"/>
            <w:shd w:val="clear" w:color="auto" w:fill="auto"/>
          </w:tcPr>
          <w:p w14:paraId="349AFF49" w14:textId="156DFBD9" w:rsidR="00581A05" w:rsidRPr="00581A05" w:rsidRDefault="00191ACD" w:rsidP="00191ACD">
            <w:pPr>
              <w:spacing w:before="120" w:after="120" w:line="276" w:lineRule="auto"/>
              <w:jc w:val="both"/>
              <w:rPr>
                <w:rFonts w:cs="Times New Roman"/>
                <w:bCs/>
                <w:color w:val="000000" w:themeColor="text1"/>
                <w:szCs w:val="24"/>
              </w:rPr>
            </w:pPr>
            <w:r>
              <w:rPr>
                <w:rFonts w:cs="Times New Roman"/>
                <w:bCs/>
                <w:color w:val="000000" w:themeColor="text1"/>
                <w:szCs w:val="24"/>
              </w:rPr>
              <w:t>V</w:t>
            </w:r>
            <w:r w:rsidR="00581A05" w:rsidRPr="00581A05">
              <w:rPr>
                <w:rFonts w:cs="Times New Roman"/>
                <w:bCs/>
                <w:color w:val="000000" w:themeColor="text1"/>
                <w:szCs w:val="24"/>
              </w:rPr>
              <w:t>ështirës</w:t>
            </w:r>
            <w:r>
              <w:rPr>
                <w:rFonts w:cs="Times New Roman"/>
                <w:bCs/>
                <w:color w:val="000000" w:themeColor="text1"/>
                <w:szCs w:val="24"/>
              </w:rPr>
              <w:t>i në implementimin e ligjit nga</w:t>
            </w:r>
            <w:r w:rsidR="00581A05" w:rsidRPr="00581A05">
              <w:rPr>
                <w:rFonts w:cs="Times New Roman"/>
                <w:bCs/>
                <w:color w:val="000000" w:themeColor="text1"/>
                <w:szCs w:val="24"/>
              </w:rPr>
              <w:t xml:space="preserve"> autoritete</w:t>
            </w:r>
            <w:r>
              <w:rPr>
                <w:rFonts w:cs="Times New Roman"/>
                <w:bCs/>
                <w:color w:val="000000" w:themeColor="text1"/>
                <w:szCs w:val="24"/>
              </w:rPr>
              <w:t>t</w:t>
            </w:r>
            <w:r w:rsidR="00581A05" w:rsidRPr="00581A05">
              <w:rPr>
                <w:rFonts w:cs="Times New Roman"/>
                <w:bCs/>
                <w:color w:val="000000" w:themeColor="text1"/>
                <w:szCs w:val="24"/>
              </w:rPr>
              <w:t xml:space="preserve"> hetuese respektivisht MINT-it dhe Komisionit për vlerësimin e masave</w:t>
            </w:r>
            <w:r>
              <w:rPr>
                <w:rFonts w:cs="Times New Roman"/>
                <w:bCs/>
                <w:color w:val="000000" w:themeColor="text1"/>
                <w:szCs w:val="24"/>
              </w:rPr>
              <w:t xml:space="preserve"> me rastin e zhvillimit te procedurave te hetimit.</w:t>
            </w:r>
          </w:p>
        </w:tc>
      </w:tr>
      <w:tr w:rsidR="00581A05" w:rsidRPr="00581A05" w14:paraId="4CBBD03E" w14:textId="77777777" w:rsidTr="008A44E6">
        <w:tc>
          <w:tcPr>
            <w:tcW w:w="1393" w:type="dxa"/>
            <w:vMerge/>
            <w:shd w:val="clear" w:color="auto" w:fill="9CC2E5" w:themeFill="accent1" w:themeFillTint="99"/>
          </w:tcPr>
          <w:p w14:paraId="7520D194" w14:textId="09CD1A24" w:rsidR="00581A05" w:rsidRPr="00581A05" w:rsidRDefault="00581A05" w:rsidP="00581A05">
            <w:pPr>
              <w:spacing w:after="0" w:line="276" w:lineRule="auto"/>
              <w:jc w:val="center"/>
              <w:rPr>
                <w:rFonts w:cs="Times New Roman"/>
                <w:b/>
                <w:color w:val="000000" w:themeColor="text1"/>
                <w:szCs w:val="24"/>
              </w:rPr>
            </w:pPr>
          </w:p>
        </w:tc>
        <w:tc>
          <w:tcPr>
            <w:tcW w:w="7445" w:type="dxa"/>
            <w:shd w:val="clear" w:color="auto" w:fill="auto"/>
          </w:tcPr>
          <w:p w14:paraId="0715070A" w14:textId="6A6356D9" w:rsidR="00581A05" w:rsidRPr="00581A05" w:rsidRDefault="00581A05" w:rsidP="00581A05">
            <w:pPr>
              <w:spacing w:before="120" w:after="120" w:line="276" w:lineRule="auto"/>
              <w:jc w:val="both"/>
              <w:rPr>
                <w:rFonts w:cs="Times New Roman"/>
                <w:bCs/>
                <w:color w:val="000000" w:themeColor="text1"/>
                <w:szCs w:val="24"/>
              </w:rPr>
            </w:pPr>
            <w:r>
              <w:rPr>
                <w:rFonts w:cs="Times New Roman"/>
                <w:bCs/>
                <w:color w:val="000000" w:themeColor="text1"/>
                <w:szCs w:val="24"/>
              </w:rPr>
              <w:t>Ç</w:t>
            </w:r>
            <w:r w:rsidRPr="00581A05">
              <w:rPr>
                <w:rFonts w:cs="Times New Roman"/>
                <w:bCs/>
                <w:color w:val="000000" w:themeColor="text1"/>
                <w:szCs w:val="24"/>
              </w:rPr>
              <w:t xml:space="preserve">rregullim të tregut nga importet e produkteve me çmime të </w:t>
            </w:r>
            <w:proofErr w:type="spellStart"/>
            <w:r w:rsidRPr="00581A05">
              <w:rPr>
                <w:rFonts w:cs="Times New Roman"/>
                <w:bCs/>
                <w:color w:val="000000" w:themeColor="text1"/>
                <w:szCs w:val="24"/>
              </w:rPr>
              <w:t>dampuara</w:t>
            </w:r>
            <w:proofErr w:type="spellEnd"/>
            <w:r w:rsidRPr="00581A05">
              <w:rPr>
                <w:rFonts w:cs="Times New Roman"/>
                <w:bCs/>
                <w:color w:val="000000" w:themeColor="text1"/>
                <w:szCs w:val="24"/>
              </w:rPr>
              <w:t xml:space="preserve"> dhe të subvencionuara nga vendet eksportuese </w:t>
            </w:r>
          </w:p>
        </w:tc>
      </w:tr>
      <w:tr w:rsidR="00581A05" w:rsidRPr="00581A05" w14:paraId="00A61367" w14:textId="77777777" w:rsidTr="008A44E6">
        <w:tc>
          <w:tcPr>
            <w:tcW w:w="1393" w:type="dxa"/>
            <w:shd w:val="clear" w:color="auto" w:fill="9CC2E5" w:themeFill="accent1" w:themeFillTint="99"/>
          </w:tcPr>
          <w:p w14:paraId="04A35EDC" w14:textId="77777777" w:rsidR="00581A05" w:rsidRPr="00581A05" w:rsidRDefault="00581A05" w:rsidP="00581A05">
            <w:pPr>
              <w:spacing w:after="0" w:line="276" w:lineRule="auto"/>
              <w:jc w:val="center"/>
              <w:rPr>
                <w:rFonts w:cs="Times New Roman"/>
                <w:b/>
                <w:color w:val="000000" w:themeColor="text1"/>
                <w:szCs w:val="24"/>
              </w:rPr>
            </w:pPr>
          </w:p>
          <w:p w14:paraId="0A7AC44A" w14:textId="77777777" w:rsidR="00581A05" w:rsidRPr="00581A05" w:rsidRDefault="00581A05" w:rsidP="00581A05">
            <w:pPr>
              <w:spacing w:after="0" w:line="276" w:lineRule="auto"/>
              <w:jc w:val="center"/>
              <w:rPr>
                <w:rFonts w:cs="Times New Roman"/>
                <w:b/>
                <w:color w:val="000000" w:themeColor="text1"/>
                <w:szCs w:val="24"/>
              </w:rPr>
            </w:pPr>
            <w:r w:rsidRPr="00581A05">
              <w:rPr>
                <w:b/>
                <w:color w:val="000000" w:themeColor="text1"/>
              </w:rPr>
              <w:t>Problemi kryesor</w:t>
            </w:r>
          </w:p>
          <w:p w14:paraId="22C8FE5C" w14:textId="77777777" w:rsidR="00581A05" w:rsidRPr="00581A05" w:rsidRDefault="00581A05" w:rsidP="00581A05">
            <w:pPr>
              <w:spacing w:after="0" w:line="276" w:lineRule="auto"/>
              <w:jc w:val="center"/>
              <w:rPr>
                <w:rFonts w:cs="Times New Roman"/>
                <w:b/>
                <w:color w:val="000000" w:themeColor="text1"/>
                <w:szCs w:val="24"/>
              </w:rPr>
            </w:pPr>
          </w:p>
        </w:tc>
        <w:tc>
          <w:tcPr>
            <w:tcW w:w="7445" w:type="dxa"/>
            <w:shd w:val="clear" w:color="auto" w:fill="auto"/>
            <w:vAlign w:val="center"/>
          </w:tcPr>
          <w:p w14:paraId="1C122F1C" w14:textId="16B765E4" w:rsidR="00581A05" w:rsidRPr="00581A05" w:rsidRDefault="00191ACD" w:rsidP="00C82331">
            <w:pPr>
              <w:spacing w:before="120" w:after="120" w:line="276" w:lineRule="auto"/>
              <w:jc w:val="both"/>
              <w:rPr>
                <w:rFonts w:cs="Times New Roman"/>
                <w:bCs/>
                <w:color w:val="000000" w:themeColor="text1"/>
                <w:szCs w:val="24"/>
              </w:rPr>
            </w:pPr>
            <w:r w:rsidRPr="00937662">
              <w:t xml:space="preserve">Ligji në fuqi për </w:t>
            </w:r>
            <w:r>
              <w:t xml:space="preserve">Masat </w:t>
            </w:r>
            <w:proofErr w:type="spellStart"/>
            <w:r>
              <w:t>Antidamping</w:t>
            </w:r>
            <w:proofErr w:type="spellEnd"/>
            <w:r>
              <w:t xml:space="preserve"> dhe Masat </w:t>
            </w:r>
            <w:proofErr w:type="spellStart"/>
            <w:r>
              <w:t>Kundërbalancuese</w:t>
            </w:r>
            <w:proofErr w:type="spellEnd"/>
            <w:r>
              <w:t xml:space="preserve"> nuk ka mundur  të gjej zbatim të plotë për shkak të zbrazëtirave juridike të identifikuara. Rrjedhimisht ka qenë vështirë që të aplikohen disa dispozita të cilat janë thelbësore për inicimin e hetimeve ndaj importeve të </w:t>
            </w:r>
            <w:proofErr w:type="spellStart"/>
            <w:r>
              <w:t>dampuara</w:t>
            </w:r>
            <w:proofErr w:type="spellEnd"/>
            <w:r>
              <w:t>, por edhe për vazhdimin e masës mbrojtëse.</w:t>
            </w:r>
          </w:p>
        </w:tc>
      </w:tr>
      <w:tr w:rsidR="00581A05" w:rsidRPr="00581A05" w14:paraId="26A61B0A" w14:textId="77777777" w:rsidTr="008A44E6">
        <w:tc>
          <w:tcPr>
            <w:tcW w:w="1393" w:type="dxa"/>
            <w:vMerge w:val="restart"/>
            <w:shd w:val="clear" w:color="auto" w:fill="9CC2E5" w:themeFill="accent1" w:themeFillTint="99"/>
          </w:tcPr>
          <w:p w14:paraId="7E42FBCE" w14:textId="77777777" w:rsidR="00581A05" w:rsidRPr="00581A05" w:rsidRDefault="00581A05" w:rsidP="00581A05">
            <w:pPr>
              <w:spacing w:after="240" w:line="276" w:lineRule="auto"/>
              <w:jc w:val="center"/>
              <w:rPr>
                <w:rFonts w:cs="Times New Roman"/>
                <w:b/>
                <w:color w:val="000000" w:themeColor="text1"/>
                <w:szCs w:val="24"/>
              </w:rPr>
            </w:pPr>
          </w:p>
          <w:p w14:paraId="6AC3002D" w14:textId="77777777" w:rsidR="00581A05" w:rsidRPr="00581A05" w:rsidRDefault="00581A05" w:rsidP="00581A05">
            <w:pPr>
              <w:spacing w:after="240" w:line="276" w:lineRule="auto"/>
              <w:jc w:val="center"/>
              <w:rPr>
                <w:rFonts w:cs="Times New Roman"/>
                <w:b/>
                <w:color w:val="000000" w:themeColor="text1"/>
                <w:szCs w:val="24"/>
              </w:rPr>
            </w:pPr>
            <w:r w:rsidRPr="00581A05">
              <w:rPr>
                <w:b/>
                <w:color w:val="000000" w:themeColor="text1"/>
              </w:rPr>
              <w:t>Shkaqet</w:t>
            </w:r>
          </w:p>
        </w:tc>
        <w:tc>
          <w:tcPr>
            <w:tcW w:w="7445" w:type="dxa"/>
            <w:shd w:val="clear" w:color="auto" w:fill="FFFFFF" w:themeFill="background1"/>
          </w:tcPr>
          <w:p w14:paraId="55EAAAC5" w14:textId="2E01824C" w:rsidR="00581A05" w:rsidRPr="00581A05" w:rsidRDefault="008A44E6" w:rsidP="00581A05">
            <w:pPr>
              <w:spacing w:before="120" w:after="120" w:line="276" w:lineRule="auto"/>
              <w:rPr>
                <w:rFonts w:cs="Times New Roman"/>
                <w:color w:val="000000" w:themeColor="text1"/>
                <w:szCs w:val="24"/>
              </w:rPr>
            </w:pPr>
            <w:r>
              <w:t>L</w:t>
            </w:r>
            <w:r w:rsidRPr="008A44E6">
              <w:t xml:space="preserve">igji ngatërron rregullat e përhershme për aplikimet (të cilat shërbejnë për të përcaktuar nëse </w:t>
            </w:r>
            <w:proofErr w:type="spellStart"/>
            <w:r w:rsidRPr="008A44E6">
              <w:t>aplikantët</w:t>
            </w:r>
            <w:proofErr w:type="spellEnd"/>
            <w:r w:rsidRPr="008A44E6">
              <w:t xml:space="preserve"> kanë status ose përfaqësim të mjaftueshëm për të paraqitur një aplikim) dhe përkufizimin e industrisë vendore për të përcaktuar nëse industria në fjalë është dëmtuar (që është kusht thelbësor për zbatimin e mjeteve juridike tregtare)</w:t>
            </w:r>
          </w:p>
        </w:tc>
      </w:tr>
      <w:tr w:rsidR="00581A05" w:rsidRPr="00581A05" w14:paraId="31E68166" w14:textId="77777777" w:rsidTr="008A44E6">
        <w:tc>
          <w:tcPr>
            <w:tcW w:w="1393" w:type="dxa"/>
            <w:vMerge/>
            <w:shd w:val="clear" w:color="auto" w:fill="9CC2E5" w:themeFill="accent1" w:themeFillTint="99"/>
          </w:tcPr>
          <w:p w14:paraId="4D680F72" w14:textId="77777777" w:rsidR="00581A05" w:rsidRPr="00581A05" w:rsidRDefault="00581A05" w:rsidP="00581A05">
            <w:pPr>
              <w:spacing w:after="0" w:line="276" w:lineRule="auto"/>
              <w:rPr>
                <w:rFonts w:cs="Times New Roman"/>
                <w:color w:val="000000" w:themeColor="text1"/>
                <w:szCs w:val="24"/>
              </w:rPr>
            </w:pPr>
          </w:p>
        </w:tc>
        <w:tc>
          <w:tcPr>
            <w:tcW w:w="7445" w:type="dxa"/>
            <w:shd w:val="clear" w:color="auto" w:fill="FFFFFF" w:themeFill="background1"/>
          </w:tcPr>
          <w:p w14:paraId="2C2566D3" w14:textId="30A08866" w:rsidR="00581A05" w:rsidRPr="00581A05" w:rsidRDefault="00581A05" w:rsidP="008A44E6">
            <w:pPr>
              <w:spacing w:before="120" w:after="120" w:line="276" w:lineRule="auto"/>
              <w:rPr>
                <w:rFonts w:cs="Times New Roman"/>
                <w:color w:val="000000" w:themeColor="text1"/>
                <w:szCs w:val="24"/>
              </w:rPr>
            </w:pPr>
            <w:r w:rsidRPr="00581A05">
              <w:t>Paqartësi</w:t>
            </w:r>
            <w:r w:rsidR="008A44E6">
              <w:t xml:space="preserve"> të theksuar me rastin e vazhdimit të masave</w:t>
            </w:r>
            <w:r w:rsidR="00115832">
              <w:t xml:space="preserve"> </w:t>
            </w:r>
            <w:proofErr w:type="spellStart"/>
            <w:r w:rsidR="00115832">
              <w:t>antidumping</w:t>
            </w:r>
            <w:proofErr w:type="spellEnd"/>
            <w:r w:rsidRPr="00581A05">
              <w:t>:</w:t>
            </w:r>
          </w:p>
        </w:tc>
      </w:tr>
      <w:tr w:rsidR="00581A05" w:rsidRPr="00581A05" w14:paraId="71DBD03F" w14:textId="77777777" w:rsidTr="008A44E6">
        <w:tc>
          <w:tcPr>
            <w:tcW w:w="1393" w:type="dxa"/>
            <w:vMerge/>
            <w:shd w:val="clear" w:color="auto" w:fill="9CC2E5" w:themeFill="accent1" w:themeFillTint="99"/>
          </w:tcPr>
          <w:p w14:paraId="39AE7858" w14:textId="77777777" w:rsidR="00581A05" w:rsidRPr="00581A05" w:rsidRDefault="00581A05" w:rsidP="00581A05">
            <w:pPr>
              <w:spacing w:after="0" w:line="276" w:lineRule="auto"/>
              <w:rPr>
                <w:rFonts w:cs="Times New Roman"/>
                <w:color w:val="000000" w:themeColor="text1"/>
                <w:szCs w:val="24"/>
              </w:rPr>
            </w:pPr>
          </w:p>
        </w:tc>
        <w:tc>
          <w:tcPr>
            <w:tcW w:w="7445" w:type="dxa"/>
            <w:shd w:val="clear" w:color="auto" w:fill="auto"/>
          </w:tcPr>
          <w:p w14:paraId="754BA3E7" w14:textId="77777777" w:rsidR="00581A05" w:rsidRPr="00581A05" w:rsidRDefault="00581A05" w:rsidP="00581A05">
            <w:pPr>
              <w:spacing w:before="120" w:after="120" w:line="276" w:lineRule="auto"/>
              <w:rPr>
                <w:rFonts w:cs="Times New Roman"/>
                <w:szCs w:val="24"/>
              </w:rPr>
            </w:pPr>
            <w:r w:rsidRPr="00581A05">
              <w:t>Mungesa e një metodologjie/doracaku</w:t>
            </w:r>
            <w:r w:rsidRPr="00581A05">
              <w:rPr>
                <w:color w:val="FF0000"/>
              </w:rPr>
              <w:t xml:space="preserve"> </w:t>
            </w:r>
            <w:r w:rsidRPr="00581A05">
              <w:t xml:space="preserve">për procedurat </w:t>
            </w:r>
          </w:p>
        </w:tc>
      </w:tr>
    </w:tbl>
    <w:p w14:paraId="18D1007E" w14:textId="77777777" w:rsidR="00581A05" w:rsidRPr="00581A05" w:rsidRDefault="00581A05" w:rsidP="00581A05">
      <w:pPr>
        <w:keepNext/>
        <w:keepLines/>
        <w:spacing w:before="120" w:after="0" w:line="276" w:lineRule="auto"/>
        <w:outlineLvl w:val="0"/>
        <w:rPr>
          <w:rFonts w:eastAsiaTheme="majorEastAsia" w:cstheme="majorBidi"/>
          <w:b/>
          <w:color w:val="2E74B5" w:themeColor="accent1" w:themeShade="BF"/>
          <w:sz w:val="32"/>
          <w:szCs w:val="32"/>
        </w:rPr>
      </w:pPr>
    </w:p>
    <w:p w14:paraId="250CA224" w14:textId="77777777" w:rsidR="00581A05" w:rsidRPr="00581A05" w:rsidRDefault="00581A05" w:rsidP="00581A05">
      <w:pPr>
        <w:keepNext/>
        <w:keepLines/>
        <w:spacing w:before="120" w:after="0" w:line="276" w:lineRule="auto"/>
        <w:outlineLvl w:val="0"/>
        <w:rPr>
          <w:rFonts w:eastAsiaTheme="majorEastAsia" w:cs="Times New Roman"/>
          <w:szCs w:val="24"/>
        </w:rPr>
      </w:pPr>
      <w:r w:rsidRPr="00581A05">
        <w:rPr>
          <w:rFonts w:eastAsiaTheme="majorEastAsia" w:cs="Times New Roman"/>
          <w:szCs w:val="24"/>
        </w:rPr>
        <w:t>Më poshtë janë zhvilluar disa analiza të cilat i referohen shkaqeve dhe efekteve të paraqitura në Tabelën e mësipërme:</w:t>
      </w:r>
    </w:p>
    <w:p w14:paraId="0537A563" w14:textId="1AC51E15" w:rsidR="000C1448" w:rsidRDefault="000C1448" w:rsidP="000C1448">
      <w:pPr>
        <w:spacing w:line="240" w:lineRule="auto"/>
        <w:jc w:val="both"/>
        <w:rPr>
          <w:rFonts w:cs="Times New Roman"/>
          <w:b/>
          <w:i/>
          <w:szCs w:val="24"/>
        </w:rPr>
      </w:pPr>
      <w:r w:rsidRPr="000C1448">
        <w:rPr>
          <w:rFonts w:cs="Times New Roman"/>
          <w:b/>
          <w:i/>
          <w:szCs w:val="24"/>
        </w:rPr>
        <w:t>Problemet aktuale në këtë fushë janë si rezultat i shkaqeve të identifikuar</w:t>
      </w:r>
      <w:r w:rsidR="00034DF4">
        <w:rPr>
          <w:rFonts w:cs="Times New Roman"/>
          <w:b/>
          <w:i/>
          <w:szCs w:val="24"/>
        </w:rPr>
        <w:t>a</w:t>
      </w:r>
      <w:r w:rsidRPr="000C1448">
        <w:rPr>
          <w:rFonts w:cs="Times New Roman"/>
          <w:b/>
          <w:i/>
          <w:szCs w:val="24"/>
        </w:rPr>
        <w:t xml:space="preserve"> si në vijim: </w:t>
      </w:r>
    </w:p>
    <w:p w14:paraId="6C644577" w14:textId="238C61FF" w:rsidR="00970A45" w:rsidRPr="00970A45" w:rsidRDefault="00970A45" w:rsidP="000C1448">
      <w:pPr>
        <w:spacing w:line="240" w:lineRule="auto"/>
        <w:jc w:val="both"/>
        <w:rPr>
          <w:rFonts w:cs="Times New Roman"/>
          <w:b/>
          <w:i/>
          <w:szCs w:val="24"/>
          <w:u w:val="single"/>
        </w:rPr>
      </w:pPr>
      <w:r w:rsidRPr="00970A45">
        <w:rPr>
          <w:rFonts w:cs="Times New Roman"/>
          <w:b/>
          <w:i/>
          <w:szCs w:val="24"/>
          <w:u w:val="single"/>
        </w:rPr>
        <w:t>Identifikimi i problemit:</w:t>
      </w:r>
    </w:p>
    <w:p w14:paraId="623DE039" w14:textId="132BF6D7" w:rsidR="00D652E8" w:rsidRDefault="00D652E8" w:rsidP="00970A45">
      <w:pPr>
        <w:spacing w:line="240" w:lineRule="auto"/>
        <w:jc w:val="both"/>
        <w:rPr>
          <w:rFonts w:cs="Times New Roman"/>
          <w:szCs w:val="24"/>
        </w:rPr>
      </w:pPr>
      <w:r>
        <w:rPr>
          <w:rFonts w:cs="Times New Roman"/>
          <w:szCs w:val="24"/>
        </w:rPr>
        <w:t>Analiza 1)</w:t>
      </w:r>
    </w:p>
    <w:p w14:paraId="1427476B" w14:textId="0B2331C4" w:rsidR="00970A45" w:rsidRPr="00970A45" w:rsidRDefault="00970A45" w:rsidP="00970A45">
      <w:pPr>
        <w:spacing w:line="240" w:lineRule="auto"/>
        <w:jc w:val="both"/>
        <w:rPr>
          <w:rFonts w:cs="Times New Roman"/>
          <w:szCs w:val="24"/>
        </w:rPr>
      </w:pPr>
      <w:r w:rsidRPr="00970A45">
        <w:rPr>
          <w:rFonts w:cs="Times New Roman"/>
          <w:szCs w:val="24"/>
        </w:rPr>
        <w:t xml:space="preserve">Hetimet  e </w:t>
      </w:r>
      <w:proofErr w:type="spellStart"/>
      <w:r w:rsidRPr="00970A45">
        <w:rPr>
          <w:rFonts w:cs="Times New Roman"/>
          <w:szCs w:val="24"/>
        </w:rPr>
        <w:t>inicuara</w:t>
      </w:r>
      <w:proofErr w:type="spellEnd"/>
      <w:r w:rsidRPr="00970A45">
        <w:rPr>
          <w:rFonts w:cs="Times New Roman"/>
          <w:szCs w:val="24"/>
        </w:rPr>
        <w:t xml:space="preserve"> sipas ligjit</w:t>
      </w:r>
    </w:p>
    <w:p w14:paraId="41EB9908" w14:textId="77777777" w:rsidR="00970A45" w:rsidRPr="00970A45" w:rsidRDefault="00970A45" w:rsidP="00970A45">
      <w:pPr>
        <w:spacing w:line="240" w:lineRule="auto"/>
        <w:jc w:val="both"/>
        <w:rPr>
          <w:rFonts w:cs="Times New Roman"/>
          <w:szCs w:val="24"/>
        </w:rPr>
      </w:pPr>
      <w:r w:rsidRPr="00970A45">
        <w:rPr>
          <w:rFonts w:cs="Times New Roman"/>
          <w:szCs w:val="24"/>
        </w:rPr>
        <w:t xml:space="preserve">Ligji për masat </w:t>
      </w:r>
      <w:proofErr w:type="spellStart"/>
      <w:r w:rsidRPr="00970A45">
        <w:rPr>
          <w:rFonts w:cs="Times New Roman"/>
          <w:szCs w:val="24"/>
        </w:rPr>
        <w:t>antidamping</w:t>
      </w:r>
      <w:proofErr w:type="spellEnd"/>
      <w:r w:rsidRPr="00970A45">
        <w:rPr>
          <w:rFonts w:cs="Times New Roman"/>
          <w:szCs w:val="24"/>
        </w:rPr>
        <w:t xml:space="preserve"> dhe masat </w:t>
      </w:r>
      <w:proofErr w:type="spellStart"/>
      <w:r w:rsidRPr="00970A45">
        <w:rPr>
          <w:rFonts w:cs="Times New Roman"/>
          <w:szCs w:val="24"/>
        </w:rPr>
        <w:t>kundërbalancuese</w:t>
      </w:r>
      <w:proofErr w:type="spellEnd"/>
      <w:r w:rsidRPr="00970A45">
        <w:rPr>
          <w:rFonts w:cs="Times New Roman"/>
          <w:szCs w:val="24"/>
        </w:rPr>
        <w:t xml:space="preserve"> është në fuqi që nga viti 2014, gjatë kësaj periudhë kohore janë nisur dhe përmbyllur disa hetime, ndonëse ka pasur vullnet nga ana e industrive vendore dhe Ministrisë për të nisur më shumë hetime dhe për të aplikuar më shumë masa juridike tregtare aty ku janë të justifikuara ligjërisht.</w:t>
      </w:r>
    </w:p>
    <w:p w14:paraId="065A947D" w14:textId="77777777" w:rsidR="00970A45" w:rsidRPr="00970A45" w:rsidRDefault="00970A45" w:rsidP="00970A45">
      <w:pPr>
        <w:spacing w:line="240" w:lineRule="auto"/>
        <w:jc w:val="both"/>
        <w:rPr>
          <w:rFonts w:cs="Times New Roman"/>
          <w:szCs w:val="24"/>
        </w:rPr>
      </w:pPr>
      <w:r w:rsidRPr="00970A45">
        <w:rPr>
          <w:rFonts w:cs="Times New Roman"/>
          <w:szCs w:val="24"/>
        </w:rPr>
        <w:t xml:space="preserve">Duket se një nga pengesat kryesore për inicimet e mundshme ka qenë mungesa e të dhënave përkatëse të ofruara nga industria vendore. Kjo rezulton nga paqartësia e kërkesave për aplikime nga </w:t>
      </w:r>
      <w:r w:rsidRPr="00970A45">
        <w:rPr>
          <w:rFonts w:cs="Times New Roman"/>
          <w:szCs w:val="24"/>
        </w:rPr>
        <w:lastRenderedPageBreak/>
        <w:t>ana e industrive vendore dhe refuzimi i tyre për të ofruar të dhëna të vlefshme dhe të sakta. Për më tepër, duke qenë se shumica e industrive vendore janë të fragmentuara dhe shoqatat tregtare - të cilat zakonisht mbledhin të dhe përgatisin aplikime - nuk ekzistojnë, problemi bëhet edhe më i thellë.</w:t>
      </w:r>
    </w:p>
    <w:p w14:paraId="5BFF24F3" w14:textId="77777777" w:rsidR="00970A45" w:rsidRPr="00970A45" w:rsidRDefault="00970A45" w:rsidP="00970A45">
      <w:pPr>
        <w:spacing w:line="240" w:lineRule="auto"/>
        <w:jc w:val="both"/>
        <w:rPr>
          <w:rFonts w:cs="Times New Roman"/>
          <w:szCs w:val="24"/>
        </w:rPr>
      </w:pPr>
      <w:r w:rsidRPr="00970A45">
        <w:rPr>
          <w:rFonts w:cs="Times New Roman"/>
          <w:szCs w:val="24"/>
        </w:rPr>
        <w:t>Përveç kësaj, zbrazëtirat juridike në këtë ligj ( shih rregullat e përhershme për aplikimet, mundësia e vazhdimit të zbatimit të detyrave pas fillimit të rishikimit të skadimit...) e kanë shtyrë ministrinë  të heqë dorë nga fillimi i hetimeve ose të zbatojë detyra aty ku kërkesat mund të jenë plotësuar.</w:t>
      </w:r>
    </w:p>
    <w:p w14:paraId="66395830" w14:textId="77777777" w:rsidR="00970A45" w:rsidRPr="00970A45" w:rsidRDefault="00970A45" w:rsidP="00970A45">
      <w:pPr>
        <w:spacing w:line="240" w:lineRule="auto"/>
        <w:jc w:val="both"/>
        <w:rPr>
          <w:rFonts w:cs="Times New Roman"/>
          <w:szCs w:val="24"/>
        </w:rPr>
      </w:pPr>
      <w:r w:rsidRPr="00970A45">
        <w:rPr>
          <w:rFonts w:cs="Times New Roman"/>
          <w:szCs w:val="24"/>
        </w:rPr>
        <w:t xml:space="preserve">Në disa raste, kjo është edhe për shkak të mungesës së koherencës, qartësisë dhe saktësisë së ligjit. </w:t>
      </w:r>
    </w:p>
    <w:p w14:paraId="40F92871" w14:textId="77777777" w:rsidR="00970A45" w:rsidRPr="00970A45" w:rsidRDefault="00970A45" w:rsidP="00970A45">
      <w:pPr>
        <w:spacing w:line="240" w:lineRule="auto"/>
        <w:jc w:val="both"/>
        <w:rPr>
          <w:rFonts w:cs="Times New Roman"/>
          <w:szCs w:val="24"/>
        </w:rPr>
      </w:pPr>
      <w:r w:rsidRPr="00970A45">
        <w:rPr>
          <w:rFonts w:cs="Times New Roman"/>
          <w:szCs w:val="24"/>
        </w:rPr>
        <w:t xml:space="preserve">Analiza 2) </w:t>
      </w:r>
    </w:p>
    <w:p w14:paraId="31914C52" w14:textId="77777777" w:rsidR="00970A45" w:rsidRPr="00970A45" w:rsidRDefault="00970A45" w:rsidP="00970A45">
      <w:pPr>
        <w:spacing w:line="240" w:lineRule="auto"/>
        <w:jc w:val="both"/>
        <w:rPr>
          <w:rFonts w:cs="Times New Roman"/>
          <w:szCs w:val="24"/>
        </w:rPr>
      </w:pPr>
      <w:r w:rsidRPr="00970A45">
        <w:rPr>
          <w:rFonts w:cs="Times New Roman"/>
          <w:szCs w:val="24"/>
        </w:rPr>
        <w:t xml:space="preserve">Stafi përgjegjës </w:t>
      </w:r>
    </w:p>
    <w:p w14:paraId="2E29B464" w14:textId="77777777" w:rsidR="00970A45" w:rsidRPr="00970A45" w:rsidRDefault="00970A45" w:rsidP="00970A45">
      <w:pPr>
        <w:spacing w:line="240" w:lineRule="auto"/>
        <w:jc w:val="both"/>
        <w:rPr>
          <w:rFonts w:cs="Times New Roman"/>
          <w:szCs w:val="24"/>
        </w:rPr>
      </w:pPr>
      <w:r w:rsidRPr="00970A45">
        <w:rPr>
          <w:rFonts w:cs="Times New Roman"/>
          <w:szCs w:val="24"/>
        </w:rPr>
        <w:t xml:space="preserve">Stafi përgjegjës për mbledhjen e të dhënave për fillimin e hetimit përbëhet nga një numër i vogël i zyrtarëve. Kjo  është tepër joadekuate duke pasur parasysh </w:t>
      </w:r>
      <w:proofErr w:type="spellStart"/>
      <w:r w:rsidRPr="00970A45">
        <w:rPr>
          <w:rFonts w:cs="Times New Roman"/>
          <w:szCs w:val="24"/>
        </w:rPr>
        <w:t>kompleksitetin</w:t>
      </w:r>
      <w:proofErr w:type="spellEnd"/>
      <w:r w:rsidRPr="00970A45">
        <w:rPr>
          <w:rFonts w:cs="Times New Roman"/>
          <w:szCs w:val="24"/>
        </w:rPr>
        <w:t xml:space="preserve"> teknik të fushës, përgjegjësinë e autoritetit hetues për të siguruar zbatimin efektiv të drejtave të mbrojtjes dhe afatet kohore relativisht të shkurtra (duke pasur parasysh sasinë e madhe të mbledhjes, analizës dhe përpunimit të dhënave) gjatë gjithë hetimit. </w:t>
      </w:r>
    </w:p>
    <w:p w14:paraId="10FA2890" w14:textId="77777777" w:rsidR="00970A45" w:rsidRPr="00970A45" w:rsidRDefault="00970A45" w:rsidP="00970A45">
      <w:pPr>
        <w:spacing w:line="240" w:lineRule="auto"/>
        <w:jc w:val="both"/>
        <w:rPr>
          <w:rFonts w:cs="Times New Roman"/>
          <w:szCs w:val="24"/>
        </w:rPr>
      </w:pPr>
      <w:r w:rsidRPr="00970A45">
        <w:rPr>
          <w:rFonts w:cs="Times New Roman"/>
          <w:szCs w:val="24"/>
        </w:rPr>
        <w:t>Për më tepër, politika e mjeteve juridike të tregtisë është një fushë shumë e specializuar në fushën e tregtisë ndërkombëtare. Kryerja e hetimeve kërkon metodologji, zbatim sistematik të Ligjit, njohuri të praktikës gjyqësore dhe të praktikës së mjeteve juridike tregtare, si dhe një kuptim të mirë të drejtave të mbrojtjes dhe çfarë nënkupton respektimi i këtyre të drejtave (veçanërisht në aspektin e hartimit ligjor dhe detyrimit për të ofruar shpjegime adekuate dhe të arsyetuara). Analiza e të dhënave, edhe pse thelbësore, nuk mjafton. Është e dëshirueshme që të jetë një përzierje e mirë e kompetencave të ndryshme (aftësi ekonomike, juridike, financiare dhe kontabiliteti).</w:t>
      </w:r>
    </w:p>
    <w:p w14:paraId="5B982EE7" w14:textId="67F2D3AF" w:rsidR="00970A45" w:rsidRPr="00970A45" w:rsidRDefault="00970A45" w:rsidP="00970A45">
      <w:pPr>
        <w:spacing w:line="240" w:lineRule="auto"/>
        <w:jc w:val="both"/>
        <w:rPr>
          <w:rFonts w:cs="Times New Roman"/>
          <w:szCs w:val="24"/>
        </w:rPr>
      </w:pPr>
      <w:r w:rsidRPr="00970A45">
        <w:rPr>
          <w:rFonts w:cs="Times New Roman"/>
          <w:szCs w:val="24"/>
        </w:rPr>
        <w:t>Megjithëse  ekzistojnë edhe dy komisionet të cilat angazhohen sipas rastit, ai për vlerësimin e masave në importe dhe për vlerësimin e detyrimeve të veçanta në importe, prapë barrën kryesore për procesin e bartë stafi i MINT.</w:t>
      </w:r>
    </w:p>
    <w:p w14:paraId="33899CF5" w14:textId="0254989B" w:rsidR="00882BA9" w:rsidRDefault="00A74DC6" w:rsidP="00882BA9">
      <w:pPr>
        <w:rPr>
          <w:b/>
          <w:u w:val="single"/>
        </w:rPr>
      </w:pPr>
      <w:r w:rsidRPr="00A74DC6">
        <w:rPr>
          <w:b/>
          <w:u w:val="single"/>
        </w:rPr>
        <w:t>Shkaqet</w:t>
      </w:r>
    </w:p>
    <w:p w14:paraId="535A9CD0" w14:textId="77777777" w:rsidR="0057662E" w:rsidRPr="003D019A" w:rsidRDefault="0057662E" w:rsidP="0057662E">
      <w:pPr>
        <w:spacing w:before="120" w:after="0" w:line="276" w:lineRule="auto"/>
        <w:jc w:val="both"/>
        <w:rPr>
          <w:rFonts w:cs="Times New Roman"/>
          <w:i/>
          <w:szCs w:val="24"/>
        </w:rPr>
      </w:pPr>
      <w:r w:rsidRPr="003D019A">
        <w:rPr>
          <w:i/>
        </w:rPr>
        <w:t>1.2.1 Pengesat në implementimin e ligjit</w:t>
      </w:r>
      <w:r w:rsidRPr="003D019A">
        <w:rPr>
          <w:rFonts w:cs="Times New Roman"/>
          <w:i/>
          <w:szCs w:val="24"/>
        </w:rPr>
        <w:t xml:space="preserve"> </w:t>
      </w:r>
    </w:p>
    <w:p w14:paraId="4147AA23" w14:textId="2AD906EA" w:rsidR="0057662E" w:rsidRPr="00D07007" w:rsidRDefault="0057662E" w:rsidP="0057662E">
      <w:pPr>
        <w:spacing w:before="120" w:after="0" w:line="276" w:lineRule="auto"/>
        <w:jc w:val="both"/>
        <w:rPr>
          <w:rFonts w:cs="Times New Roman"/>
          <w:szCs w:val="24"/>
        </w:rPr>
      </w:pPr>
      <w:r>
        <w:rPr>
          <w:rFonts w:cs="Times New Roman"/>
          <w:szCs w:val="24"/>
        </w:rPr>
        <w:t>Në ligjin aktual m</w:t>
      </w:r>
      <w:r w:rsidRPr="00D07007">
        <w:rPr>
          <w:rFonts w:cs="Times New Roman"/>
          <w:szCs w:val="24"/>
        </w:rPr>
        <w:t xml:space="preserve">ungojnë disa detyrime nga ana e autoritetit hetues. Ato kanë të bëjnë kryesisht me të drejtat e mbrojtjes. Ky është rasti, për shembull, i dispozitave për njoftimin publik të vendimeve dhe çfarë duhet të përmbajnë ato. Gjithashtu mungojnë dispozitat lidhur me dëgjimet </w:t>
      </w:r>
      <w:proofErr w:type="spellStart"/>
      <w:r w:rsidRPr="00D07007">
        <w:rPr>
          <w:rFonts w:cs="Times New Roman"/>
          <w:szCs w:val="24"/>
        </w:rPr>
        <w:t>ex</w:t>
      </w:r>
      <w:proofErr w:type="spellEnd"/>
      <w:r w:rsidRPr="00D07007">
        <w:rPr>
          <w:rFonts w:cs="Times New Roman"/>
          <w:szCs w:val="24"/>
        </w:rPr>
        <w:t xml:space="preserve"> </w:t>
      </w:r>
      <w:proofErr w:type="spellStart"/>
      <w:r>
        <w:rPr>
          <w:rFonts w:cs="Times New Roman"/>
          <w:szCs w:val="24"/>
        </w:rPr>
        <w:t>parte</w:t>
      </w:r>
      <w:proofErr w:type="spellEnd"/>
      <w:r>
        <w:rPr>
          <w:rFonts w:cs="Times New Roman"/>
          <w:szCs w:val="24"/>
        </w:rPr>
        <w:t xml:space="preserve"> (e palëve) </w:t>
      </w:r>
      <w:r w:rsidRPr="00D07007">
        <w:rPr>
          <w:rFonts w:cs="Times New Roman"/>
          <w:szCs w:val="24"/>
        </w:rPr>
        <w:t>.</w:t>
      </w:r>
      <w:r>
        <w:rPr>
          <w:rFonts w:cs="Times New Roman"/>
          <w:szCs w:val="24"/>
        </w:rPr>
        <w:t xml:space="preserve"> </w:t>
      </w:r>
    </w:p>
    <w:p w14:paraId="7556DF59" w14:textId="77777777" w:rsidR="0057662E" w:rsidRPr="00937662" w:rsidRDefault="0057662E" w:rsidP="0057662E">
      <w:pPr>
        <w:spacing w:before="120" w:after="0" w:line="276" w:lineRule="auto"/>
        <w:jc w:val="both"/>
        <w:rPr>
          <w:rFonts w:cs="Times New Roman"/>
          <w:szCs w:val="24"/>
        </w:rPr>
      </w:pPr>
      <w:r w:rsidRPr="00D07007">
        <w:rPr>
          <w:rFonts w:cs="Times New Roman"/>
          <w:szCs w:val="24"/>
        </w:rPr>
        <w:t>Për sa i përket kushteve thelbësore, mungojnë disa dispozita që kanë të bëjnë me ekzaminimin e detyrueshëm të treguesve të caktuar për përcaktimin e dëm</w:t>
      </w:r>
      <w:r>
        <w:rPr>
          <w:rFonts w:cs="Times New Roman"/>
          <w:szCs w:val="24"/>
        </w:rPr>
        <w:t>it</w:t>
      </w:r>
      <w:r w:rsidRPr="00D07007">
        <w:rPr>
          <w:rFonts w:cs="Times New Roman"/>
          <w:szCs w:val="24"/>
        </w:rPr>
        <w:t>. Për këtë arsye, dispozitat e mbetura në lidhje me pjesën tjetër të analizës nuk mund të përdoren në mënyrë logjike dhe efektive.</w:t>
      </w:r>
    </w:p>
    <w:p w14:paraId="20C342FC" w14:textId="77777777" w:rsidR="0057662E" w:rsidRDefault="0057662E" w:rsidP="0057662E">
      <w:pPr>
        <w:spacing w:after="0" w:line="276" w:lineRule="auto"/>
        <w:jc w:val="both"/>
      </w:pPr>
    </w:p>
    <w:p w14:paraId="7DED7584" w14:textId="77777777" w:rsidR="0057662E" w:rsidRPr="000C227F" w:rsidRDefault="0057662E" w:rsidP="0057662E">
      <w:pPr>
        <w:spacing w:after="0" w:line="276" w:lineRule="auto"/>
        <w:jc w:val="both"/>
      </w:pPr>
      <w:r>
        <w:t xml:space="preserve">Gjithashtu vlen të përmendet se </w:t>
      </w:r>
      <w:r w:rsidRPr="000C227F">
        <w:t xml:space="preserve">mungesa e qartësisë/koherencës ka ndikuar në aftësinë e autoritetit hetimor për të kryer me sukses hetimet në përputhje me detyrimet ndërkombëtare të Kosovës dhe mund të ketë dekurajuar fillimin e hetimeve (qoftë me aplikime të industrisë vendore ose </w:t>
      </w:r>
      <w:proofErr w:type="spellStart"/>
      <w:r w:rsidRPr="000C227F">
        <w:t>ex</w:t>
      </w:r>
      <w:proofErr w:type="spellEnd"/>
      <w:r w:rsidRPr="000C227F">
        <w:t xml:space="preserve"> </w:t>
      </w:r>
      <w:proofErr w:type="spellStart"/>
      <w:r w:rsidRPr="000C227F">
        <w:t>officio</w:t>
      </w:r>
      <w:proofErr w:type="spellEnd"/>
      <w:r w:rsidRPr="000C227F">
        <w:t>).</w:t>
      </w:r>
      <w:r>
        <w:t xml:space="preserve"> </w:t>
      </w:r>
    </w:p>
    <w:p w14:paraId="19C23D18" w14:textId="77777777" w:rsidR="0057662E" w:rsidRDefault="0057662E" w:rsidP="0057662E">
      <w:pPr>
        <w:spacing w:after="0" w:line="276" w:lineRule="auto"/>
        <w:jc w:val="both"/>
        <w:rPr>
          <w:b/>
        </w:rPr>
      </w:pPr>
    </w:p>
    <w:p w14:paraId="4BAE8A2D" w14:textId="77777777" w:rsidR="0057662E" w:rsidRDefault="0057662E" w:rsidP="0057662E">
      <w:pPr>
        <w:spacing w:after="0" w:line="276" w:lineRule="auto"/>
        <w:jc w:val="both"/>
        <w:rPr>
          <w:b/>
        </w:rPr>
      </w:pPr>
    </w:p>
    <w:p w14:paraId="01F7ACA1" w14:textId="77777777" w:rsidR="0057662E" w:rsidRPr="003D019A" w:rsidRDefault="0057662E" w:rsidP="0057662E">
      <w:pPr>
        <w:spacing w:after="0" w:line="276" w:lineRule="auto"/>
        <w:jc w:val="both"/>
        <w:rPr>
          <w:i/>
        </w:rPr>
      </w:pPr>
      <w:r w:rsidRPr="003D019A">
        <w:rPr>
          <w:i/>
        </w:rPr>
        <w:t xml:space="preserve">1.2.2 </w:t>
      </w:r>
      <w:bookmarkStart w:id="4" w:name="_Hlk38117324"/>
      <w:r w:rsidRPr="003D019A">
        <w:rPr>
          <w:i/>
        </w:rPr>
        <w:t>Konfuzion i neneve të caktuara dhe mospërputhja me rregullat e OBT-së</w:t>
      </w:r>
    </w:p>
    <w:p w14:paraId="15A64C85" w14:textId="77777777" w:rsidR="0057662E" w:rsidRDefault="0057662E" w:rsidP="0057662E">
      <w:pPr>
        <w:spacing w:after="0" w:line="276" w:lineRule="auto"/>
        <w:jc w:val="both"/>
      </w:pPr>
    </w:p>
    <w:p w14:paraId="27D24E5B" w14:textId="77777777" w:rsidR="0057662E" w:rsidRDefault="0057662E" w:rsidP="0057662E">
      <w:pPr>
        <w:spacing w:after="0" w:line="276" w:lineRule="auto"/>
        <w:jc w:val="both"/>
      </w:pPr>
      <w:r>
        <w:t xml:space="preserve">Ka disa mospërputhje me rregullat e OBT-së. Në veçanti, ligji ngatërron rregullat e përhershme për aplikimet (të cilat shërbejnë për të përcaktuar nëse </w:t>
      </w:r>
      <w:proofErr w:type="spellStart"/>
      <w:r>
        <w:t>aplikantët</w:t>
      </w:r>
      <w:proofErr w:type="spellEnd"/>
      <w:r>
        <w:t xml:space="preserve"> kanë status ose përfaqësim të mjaftueshëm për të paraqitur një aplikim) dhe përkufizimin e industrisë vendore për të përcaktuar nëse industria në fjalë është dëmtuar (që është kusht thelbësor për zbatimin e mjeteve juridike tregtare).</w:t>
      </w:r>
    </w:p>
    <w:p w14:paraId="4A14C0D7" w14:textId="77777777" w:rsidR="0057662E" w:rsidRDefault="0057662E" w:rsidP="0057662E">
      <w:pPr>
        <w:spacing w:after="0" w:line="276" w:lineRule="auto"/>
        <w:jc w:val="both"/>
      </w:pPr>
    </w:p>
    <w:p w14:paraId="1936D266" w14:textId="77777777" w:rsidR="0057662E" w:rsidRDefault="0057662E" w:rsidP="0057662E">
      <w:pPr>
        <w:spacing w:after="0" w:line="276" w:lineRule="auto"/>
        <w:jc w:val="both"/>
      </w:pPr>
      <w:r>
        <w:t xml:space="preserve">Përveç kësaj, në lidhje me hetimet </w:t>
      </w:r>
      <w:proofErr w:type="spellStart"/>
      <w:r>
        <w:t>antidamping</w:t>
      </w:r>
      <w:proofErr w:type="spellEnd"/>
      <w:r>
        <w:t>, ka një konfuzion midis rregullave që rregullojnë krijimin e rrethanave që justifikojnë mospërfilljen e çmimeve aktuale të shitjes në tregun e brendshëm të vendit eksportues dhe zëvendësimin e tyre me çmime të ndërtuara për përcaktimin e vlerë normale dhe metodologjitë për të ndërtuar vlerën normale, veçanërisht në bazë të kostove.</w:t>
      </w:r>
    </w:p>
    <w:p w14:paraId="673241CF" w14:textId="77777777" w:rsidR="0057662E" w:rsidRDefault="0057662E" w:rsidP="0057662E">
      <w:pPr>
        <w:spacing w:after="0" w:line="276" w:lineRule="auto"/>
        <w:jc w:val="both"/>
      </w:pPr>
    </w:p>
    <w:p w14:paraId="5B5C6134" w14:textId="77777777" w:rsidR="00970A45" w:rsidRDefault="0057662E" w:rsidP="0057662E">
      <w:pPr>
        <w:spacing w:after="0" w:line="276" w:lineRule="auto"/>
        <w:jc w:val="both"/>
      </w:pPr>
      <w:r>
        <w:t xml:space="preserve">Konceptet kryesore të ligjit, të tilla si "produkte të ngjashme" ose "industri vendore", nuk janë të përcaktuara siç duhet. </w:t>
      </w:r>
    </w:p>
    <w:p w14:paraId="1E84468C" w14:textId="77777777" w:rsidR="0057662E" w:rsidRDefault="0057662E" w:rsidP="0057662E">
      <w:pPr>
        <w:spacing w:after="0" w:line="276" w:lineRule="auto"/>
        <w:jc w:val="both"/>
      </w:pPr>
    </w:p>
    <w:bookmarkEnd w:id="4"/>
    <w:p w14:paraId="76A8D0F5" w14:textId="67641B54" w:rsidR="00597074" w:rsidRDefault="003B7382" w:rsidP="00F37EC7">
      <w:pPr>
        <w:jc w:val="both"/>
      </w:pPr>
      <w:r>
        <w:t xml:space="preserve">Me rastin e analizës së ligjit aktual për masat </w:t>
      </w:r>
      <w:proofErr w:type="spellStart"/>
      <w:r>
        <w:t>antidamping</w:t>
      </w:r>
      <w:proofErr w:type="spellEnd"/>
      <w:r>
        <w:t xml:space="preserve"> dhe masat </w:t>
      </w:r>
      <w:proofErr w:type="spellStart"/>
      <w:r>
        <w:t>kundërbalancuese</w:t>
      </w:r>
      <w:proofErr w:type="spellEnd"/>
      <w:r>
        <w:t xml:space="preserve"> e kryer nga </w:t>
      </w:r>
      <w:r w:rsidR="00597074">
        <w:t>g</w:t>
      </w:r>
      <w:r>
        <w:t xml:space="preserve">rupi </w:t>
      </w:r>
      <w:r w:rsidR="00597074">
        <w:t>p</w:t>
      </w:r>
      <w:r>
        <w:t xml:space="preserve">unues dhe duke përdorur </w:t>
      </w:r>
      <w:proofErr w:type="spellStart"/>
      <w:r>
        <w:t>eskpertizën</w:t>
      </w:r>
      <w:proofErr w:type="spellEnd"/>
      <w:r>
        <w:t xml:space="preserve"> nga projekti </w:t>
      </w:r>
      <w:proofErr w:type="spellStart"/>
      <w:r>
        <w:t>LuxDev</w:t>
      </w:r>
      <w:proofErr w:type="spellEnd"/>
      <w:r>
        <w:t xml:space="preserve"> janë identifikuar nenet </w:t>
      </w:r>
      <w:r w:rsidR="00597074">
        <w:t xml:space="preserve">sipas ligjit aktual në fuqi, </w:t>
      </w:r>
      <w:r>
        <w:t xml:space="preserve">të cilat </w:t>
      </w:r>
      <w:r w:rsidR="00597074">
        <w:t xml:space="preserve">kanë </w:t>
      </w:r>
      <w:proofErr w:type="spellStart"/>
      <w:r w:rsidR="00597074">
        <w:t>sjellur</w:t>
      </w:r>
      <w:proofErr w:type="spellEnd"/>
      <w:r w:rsidR="00597074">
        <w:t xml:space="preserve"> moszbatim në praktik</w:t>
      </w:r>
      <w:r w:rsidR="00F37EC7">
        <w:t>ë</w:t>
      </w:r>
      <w:r w:rsidR="00597074">
        <w:t>, dhe ato janë:</w:t>
      </w:r>
    </w:p>
    <w:p w14:paraId="5FE8495E" w14:textId="77777777" w:rsidR="000C7276" w:rsidRDefault="003B7382" w:rsidP="002163EB">
      <w:pPr>
        <w:jc w:val="both"/>
      </w:pPr>
      <w:r>
        <w:t xml:space="preserve">Neni 1 Qëllimi: </w:t>
      </w:r>
    </w:p>
    <w:p w14:paraId="39AFB20F" w14:textId="626398E2" w:rsidR="000C7276" w:rsidRPr="00CC6829" w:rsidRDefault="000C7276" w:rsidP="002163EB">
      <w:pPr>
        <w:jc w:val="both"/>
        <w:rPr>
          <w:i/>
        </w:rPr>
      </w:pPr>
      <w:r w:rsidRPr="00CC6829">
        <w:rPr>
          <w:i/>
        </w:rPr>
        <w:t xml:space="preserve">Më këtë ligj përcaktohen rregullat dhe procedurat për vendosjen e masave </w:t>
      </w:r>
      <w:proofErr w:type="spellStart"/>
      <w:r w:rsidRPr="00CC6829">
        <w:rPr>
          <w:i/>
        </w:rPr>
        <w:t>antidamping</w:t>
      </w:r>
      <w:proofErr w:type="spellEnd"/>
      <w:r w:rsidRPr="00CC6829">
        <w:rPr>
          <w:i/>
        </w:rPr>
        <w:t xml:space="preserve"> ndaj importeve, të cilat janë objekt i </w:t>
      </w:r>
      <w:proofErr w:type="spellStart"/>
      <w:r w:rsidRPr="00CC6829">
        <w:rPr>
          <w:i/>
        </w:rPr>
        <w:t>dampingut</w:t>
      </w:r>
      <w:proofErr w:type="spellEnd"/>
      <w:r w:rsidRPr="00CC6829">
        <w:rPr>
          <w:i/>
        </w:rPr>
        <w:t xml:space="preserve">, si dhe masave </w:t>
      </w:r>
      <w:proofErr w:type="spellStart"/>
      <w:r w:rsidRPr="00CC6829">
        <w:rPr>
          <w:i/>
        </w:rPr>
        <w:t>kundërbalancuese</w:t>
      </w:r>
      <w:proofErr w:type="spellEnd"/>
      <w:r w:rsidRPr="00CC6829">
        <w:rPr>
          <w:i/>
        </w:rPr>
        <w:t xml:space="preserve"> ndaj importeve të subvencionuara, me qëllim të mbrojtjes së industrisë vendore dhe interesave të Republikës së Kosovës.</w:t>
      </w:r>
    </w:p>
    <w:p w14:paraId="20E9E879" w14:textId="77777777" w:rsidR="00680F15" w:rsidRDefault="003B7382" w:rsidP="002163EB">
      <w:pPr>
        <w:jc w:val="both"/>
      </w:pPr>
      <w:r>
        <w:t xml:space="preserve">Neni 2 Fushëveprimi: </w:t>
      </w:r>
    </w:p>
    <w:p w14:paraId="7F0EAFE7" w14:textId="116057C2" w:rsidR="00680F15" w:rsidRPr="00CC6829" w:rsidRDefault="00680F15" w:rsidP="002163EB">
      <w:pPr>
        <w:jc w:val="both"/>
        <w:rPr>
          <w:i/>
        </w:rPr>
      </w:pPr>
      <w:r w:rsidRPr="00CC6829">
        <w:rPr>
          <w:i/>
        </w:rPr>
        <w:t xml:space="preserve">1. Ky ligj zbatohet për masat </w:t>
      </w:r>
      <w:proofErr w:type="spellStart"/>
      <w:r w:rsidRPr="00CC6829">
        <w:rPr>
          <w:i/>
        </w:rPr>
        <w:t>antidamping</w:t>
      </w:r>
      <w:proofErr w:type="spellEnd"/>
      <w:r w:rsidRPr="00CC6829">
        <w:rPr>
          <w:i/>
        </w:rPr>
        <w:t xml:space="preserve"> dhe </w:t>
      </w:r>
      <w:proofErr w:type="spellStart"/>
      <w:r w:rsidRPr="00CC6829">
        <w:rPr>
          <w:i/>
        </w:rPr>
        <w:t>kundërbalancuese</w:t>
      </w:r>
      <w:proofErr w:type="spellEnd"/>
      <w:r w:rsidRPr="00CC6829">
        <w:rPr>
          <w:i/>
        </w:rPr>
        <w:t xml:space="preserve"> kundër një produkti të importuar, i cili është i </w:t>
      </w:r>
      <w:proofErr w:type="spellStart"/>
      <w:r w:rsidRPr="00CC6829">
        <w:rPr>
          <w:i/>
        </w:rPr>
        <w:t>dampuar</w:t>
      </w:r>
      <w:proofErr w:type="spellEnd"/>
      <w:r w:rsidRPr="00CC6829">
        <w:rPr>
          <w:i/>
        </w:rPr>
        <w:t xml:space="preserve"> apo përfitues nga subvencionet e Qeverisë ose një autoritet publik i vendit eksportues ose vendit të origjinës, me kusht që ky import i një produkti shkakton ose kërcënon të shkaktojë dëm material ndaj industrisë vendore të Republikës së Kosovës. 2. Masat </w:t>
      </w:r>
      <w:proofErr w:type="spellStart"/>
      <w:r w:rsidRPr="00CC6829">
        <w:rPr>
          <w:i/>
        </w:rPr>
        <w:t>antidamping</w:t>
      </w:r>
      <w:proofErr w:type="spellEnd"/>
      <w:r w:rsidRPr="00CC6829">
        <w:rPr>
          <w:i/>
        </w:rPr>
        <w:t xml:space="preserve"> dhe/ose </w:t>
      </w:r>
      <w:proofErr w:type="spellStart"/>
      <w:r w:rsidRPr="00CC6829">
        <w:rPr>
          <w:i/>
        </w:rPr>
        <w:t>kundërbalancuese</w:t>
      </w:r>
      <w:proofErr w:type="spellEnd"/>
      <w:r w:rsidRPr="00CC6829">
        <w:rPr>
          <w:i/>
        </w:rPr>
        <w:t xml:space="preserve"> vendosen vetëm pas respektimit të procedurave përkatëse dhe kryerjes së hetimeve në përputhje me kërkesat e përcaktuara në këtë ligj.</w:t>
      </w:r>
    </w:p>
    <w:p w14:paraId="0B4931C5" w14:textId="0ABBB83D" w:rsidR="00665F9C" w:rsidRDefault="003B7382" w:rsidP="002163EB">
      <w:pPr>
        <w:jc w:val="both"/>
      </w:pPr>
      <w:r>
        <w:t xml:space="preserve">Neni 3, </w:t>
      </w:r>
      <w:r w:rsidR="00665F9C">
        <w:t xml:space="preserve">Përkufizimet, </w:t>
      </w:r>
      <w:r w:rsidR="00664C5D">
        <w:t xml:space="preserve">paragrafi </w:t>
      </w:r>
      <w:r>
        <w:t xml:space="preserve"> 1.6 Produkti me karakteristika identike: </w:t>
      </w:r>
    </w:p>
    <w:p w14:paraId="30D638CF" w14:textId="063BE192" w:rsidR="00665F9C" w:rsidRDefault="00764654" w:rsidP="002163EB">
      <w:pPr>
        <w:jc w:val="both"/>
      </w:pPr>
      <w:r>
        <w:t>1.6. Produkti me karakteristika identike, p.sh. i ngjashëm në të gjitha aspektet me produktin nën hetim, apo në mungesë të një produkti të tillë ndonjë produkt tjetër i cili edhe pse nuk është i ngjashëm në të gjitha aspektet ka shumë karakteristika të ngjashme me ato të produktit nën hetim, një kriter ky i rëndësishëm kur këto dy produkte konkurrojnë njëra tjetrën apo janë të zëvendësueshme;</w:t>
      </w:r>
    </w:p>
    <w:p w14:paraId="082A786C" w14:textId="7BA178BD" w:rsidR="00DE02BC" w:rsidRDefault="003B7382" w:rsidP="003B7382">
      <w:r>
        <w:lastRenderedPageBreak/>
        <w:t xml:space="preserve">Neni 3, </w:t>
      </w:r>
      <w:proofErr w:type="spellStart"/>
      <w:r w:rsidR="00664C5D">
        <w:t>nënparagrafi</w:t>
      </w:r>
      <w:proofErr w:type="spellEnd"/>
      <w:r w:rsidR="00664C5D">
        <w:t xml:space="preserve"> </w:t>
      </w:r>
      <w:r>
        <w:t xml:space="preserve"> 1.</w:t>
      </w:r>
      <w:r w:rsidR="00802014">
        <w:t>12</w:t>
      </w:r>
      <w:r>
        <w:t xml:space="preserve"> Industria Vendore Kosovare: </w:t>
      </w:r>
    </w:p>
    <w:p w14:paraId="0898B281" w14:textId="3B787BC7" w:rsidR="00DE02BC" w:rsidRPr="002163EB" w:rsidRDefault="00802014" w:rsidP="00CC6829">
      <w:pPr>
        <w:jc w:val="both"/>
        <w:rPr>
          <w:i/>
        </w:rPr>
      </w:pPr>
      <w:r w:rsidRPr="002163EB">
        <w:rPr>
          <w:i/>
        </w:rPr>
        <w:t xml:space="preserve">1.12. Industria Vendore Kosovare - Të gjithë prodhuesit Kosovar të produktit të ngjashëm apo prodhuesit e Kosovës, të cilët së bashku prodhojnë produktin e ngjashëm i cili përbën më shumë se pesëdhjetë </w:t>
      </w:r>
      <w:proofErr w:type="spellStart"/>
      <w:r w:rsidRPr="002163EB">
        <w:rPr>
          <w:i/>
        </w:rPr>
        <w:t>përqind</w:t>
      </w:r>
      <w:proofErr w:type="spellEnd"/>
      <w:r w:rsidRPr="002163EB">
        <w:rPr>
          <w:i/>
        </w:rPr>
        <w:t xml:space="preserve"> (50%) të prodhimit të përgjithshëm të produktit të ngjashëm në Kosovë, në qoftë se një prodhues Kosovar i produktit të ngjashëm është i lidhur me një eksportues ose importues, ose nëse ai vet është importues i produktit nën hetim, atëherë për qëllimin i këtij përkufizimi ai mund të mos konsiderohet të jetë anëtar i industrisë së Kosovës; industria e brendshme e Kosovës nuk ka të drejtë për një procedim </w:t>
      </w:r>
      <w:proofErr w:type="spellStart"/>
      <w:r w:rsidRPr="002163EB">
        <w:rPr>
          <w:i/>
        </w:rPr>
        <w:t>antidamping</w:t>
      </w:r>
      <w:proofErr w:type="spellEnd"/>
      <w:r w:rsidRPr="002163EB">
        <w:rPr>
          <w:i/>
        </w:rPr>
        <w:t xml:space="preserve"> apo </w:t>
      </w:r>
      <w:proofErr w:type="spellStart"/>
      <w:r w:rsidRPr="002163EB">
        <w:rPr>
          <w:i/>
        </w:rPr>
        <w:t>anti</w:t>
      </w:r>
      <w:proofErr w:type="spellEnd"/>
      <w:r w:rsidRPr="002163EB">
        <w:rPr>
          <w:i/>
        </w:rPr>
        <w:t xml:space="preserve">-subvencion kur prodhuesit e Kosovës shprehimisht mbështetësin llogarinë proceduese për më pak se njëzet e pesë </w:t>
      </w:r>
      <w:proofErr w:type="spellStart"/>
      <w:r w:rsidRPr="002163EB">
        <w:rPr>
          <w:i/>
        </w:rPr>
        <w:t>përqind</w:t>
      </w:r>
      <w:proofErr w:type="spellEnd"/>
      <w:r w:rsidRPr="002163EB">
        <w:rPr>
          <w:i/>
        </w:rPr>
        <w:t xml:space="preserve"> (25%) të produktit të ngjashëm të prodhuar nga industria vendore e Kosovës si tërësi</w:t>
      </w:r>
    </w:p>
    <w:p w14:paraId="05A33914" w14:textId="7CA1DEA5" w:rsidR="001A5ED3" w:rsidRDefault="003B7382" w:rsidP="003B7382">
      <w:r>
        <w:t xml:space="preserve">Neni 3, </w:t>
      </w:r>
      <w:r w:rsidR="00664C5D">
        <w:t>paragrafi</w:t>
      </w:r>
      <w:r>
        <w:t xml:space="preserve"> 1.15 Periudha e hetimit: </w:t>
      </w:r>
    </w:p>
    <w:p w14:paraId="3BB91C59" w14:textId="1F02B5B2" w:rsidR="001A5ED3" w:rsidRPr="002163EB" w:rsidRDefault="001A5ED3" w:rsidP="002163EB">
      <w:pPr>
        <w:jc w:val="both"/>
        <w:rPr>
          <w:i/>
        </w:rPr>
      </w:pPr>
      <w:r w:rsidRPr="002163EB">
        <w:rPr>
          <w:i/>
        </w:rPr>
        <w:t xml:space="preserve">1.15. Periudha e hetimit - Një periudhë prej së paku gjashtë (6) muaj dhe zakonisht një (1) vit para dhe sa më afër të jetë e mundur dhe e përshtatshme me fillimin e procedurës për qëllim të përcaktimit të </w:t>
      </w:r>
      <w:proofErr w:type="spellStart"/>
      <w:r w:rsidRPr="002163EB">
        <w:rPr>
          <w:i/>
        </w:rPr>
        <w:t>dampingut</w:t>
      </w:r>
      <w:proofErr w:type="spellEnd"/>
      <w:r w:rsidRPr="002163EB">
        <w:rPr>
          <w:i/>
        </w:rPr>
        <w:t xml:space="preserve"> ose subvencionimit dhe dëmeve pasuese të shkaktuara</w:t>
      </w:r>
      <w:r w:rsidR="00FF5F0F" w:rsidRPr="002163EB">
        <w:rPr>
          <w:i/>
        </w:rPr>
        <w:t>.</w:t>
      </w:r>
    </w:p>
    <w:p w14:paraId="50A9D02E" w14:textId="68E76709" w:rsidR="00D24686" w:rsidRDefault="003B7382" w:rsidP="003B7382">
      <w:r>
        <w:t>Neni 3, pika 1.1</w:t>
      </w:r>
      <w:r w:rsidR="00687CE8">
        <w:t>9</w:t>
      </w:r>
      <w:r>
        <w:t xml:space="preserve"> Dëmi: </w:t>
      </w:r>
    </w:p>
    <w:p w14:paraId="33A85956" w14:textId="1E64E27A" w:rsidR="00687CE8" w:rsidRPr="002163EB" w:rsidRDefault="00687CE8" w:rsidP="002163EB">
      <w:pPr>
        <w:jc w:val="both"/>
        <w:rPr>
          <w:i/>
        </w:rPr>
      </w:pPr>
      <w:r w:rsidRPr="002163EB">
        <w:rPr>
          <w:i/>
        </w:rPr>
        <w:t>1.18. Dëmi - Dëmtimin material ekonomik dhe / ose financiar për industrinë vendore të Kosovës, kërcënimin e dëmit material apo ngecjes materiale ose parandalimit të krijimit ose zhvillimit të industrisë vendore të Kosovës;</w:t>
      </w:r>
    </w:p>
    <w:p w14:paraId="0BC9953B" w14:textId="77777777" w:rsidR="006D3687" w:rsidRDefault="003B7382" w:rsidP="003B7382">
      <w:r>
        <w:t xml:space="preserve">Neni 4, Masat </w:t>
      </w:r>
      <w:proofErr w:type="spellStart"/>
      <w:r>
        <w:t>antidamping</w:t>
      </w:r>
      <w:proofErr w:type="spellEnd"/>
      <w:r>
        <w:t xml:space="preserve">: </w:t>
      </w:r>
    </w:p>
    <w:p w14:paraId="64AEB0D7" w14:textId="2D0D7E34" w:rsidR="006D3687" w:rsidRPr="002163EB" w:rsidRDefault="006D3687" w:rsidP="003B7382">
      <w:pPr>
        <w:rPr>
          <w:i/>
        </w:rPr>
      </w:pPr>
      <w:r w:rsidRPr="002163EB">
        <w:rPr>
          <w:i/>
        </w:rPr>
        <w:t xml:space="preserve">Masat </w:t>
      </w:r>
      <w:proofErr w:type="spellStart"/>
      <w:r w:rsidRPr="002163EB">
        <w:rPr>
          <w:i/>
        </w:rPr>
        <w:t>antidamping</w:t>
      </w:r>
      <w:proofErr w:type="spellEnd"/>
      <w:r w:rsidRPr="002163EB">
        <w:rPr>
          <w:i/>
        </w:rPr>
        <w:t xml:space="preserve"> mund të jenë të zbatueshme për çdo produkt të </w:t>
      </w:r>
      <w:proofErr w:type="spellStart"/>
      <w:r w:rsidRPr="002163EB">
        <w:rPr>
          <w:i/>
        </w:rPr>
        <w:t>dampuar</w:t>
      </w:r>
      <w:proofErr w:type="spellEnd"/>
      <w:r w:rsidRPr="002163EB">
        <w:rPr>
          <w:i/>
        </w:rPr>
        <w:t>, importimi dhe shitja e të cilit në Kosovë shkakton ose kërcënon të shkaktojë dëm material ndaj industrisë vendore.</w:t>
      </w:r>
    </w:p>
    <w:p w14:paraId="3311DF42" w14:textId="77777777" w:rsidR="00AE593B" w:rsidRDefault="003B7382" w:rsidP="003B7382">
      <w:r>
        <w:t>Neni 5 Vlera normale:</w:t>
      </w:r>
    </w:p>
    <w:p w14:paraId="17F41615" w14:textId="77777777" w:rsidR="006C04CC" w:rsidRDefault="006C04CC" w:rsidP="002163EB">
      <w:pPr>
        <w:jc w:val="both"/>
        <w:rPr>
          <w:i/>
        </w:rPr>
      </w:pPr>
      <w:r w:rsidRPr="002163EB">
        <w:rPr>
          <w:i/>
        </w:rPr>
        <w:t xml:space="preserve">1. Në rast kur eksportuesi nuk e prodhon, përpunon ose shet produktin e ngjashëm në vend eksportues vlera normale mund të përcaktohet në bazë të çmimeve të prodhuesve ose shitësve të tjerë në atë vend. </w:t>
      </w:r>
    </w:p>
    <w:p w14:paraId="35BB4631" w14:textId="77777777" w:rsidR="006C04CC" w:rsidRDefault="006C04CC" w:rsidP="00005121">
      <w:pPr>
        <w:jc w:val="both"/>
        <w:rPr>
          <w:i/>
        </w:rPr>
      </w:pPr>
      <w:r w:rsidRPr="002163EB">
        <w:rPr>
          <w:i/>
        </w:rPr>
        <w:t xml:space="preserve">2. Çmimet krahasuese në mes të palëve të cilët bashkëpunojnë me njëra tjetrën ose që kanë </w:t>
      </w:r>
      <w:r w:rsidRPr="00005121">
        <w:rPr>
          <w:i/>
        </w:rPr>
        <w:t xml:space="preserve">marrëveshje në mes vete mund të mos trajtohen sikur të ishin në kushte normale të tregut dhe gjithashtu mund që të mos shfrytëzohen në përcaktimin e vlerës normale, përveç nëse konstatohet se këto çmime nuk janë të ndikuara nga marrëveshja apo bashkëpunimi në mes tyre. </w:t>
      </w:r>
    </w:p>
    <w:p w14:paraId="19E151A3" w14:textId="77777777" w:rsidR="006C04CC" w:rsidRDefault="006C04CC" w:rsidP="00005121">
      <w:pPr>
        <w:jc w:val="both"/>
        <w:rPr>
          <w:i/>
        </w:rPr>
      </w:pPr>
      <w:r w:rsidRPr="00005121">
        <w:rPr>
          <w:i/>
        </w:rPr>
        <w:t xml:space="preserve">3. Me qëllim të përcaktimit të vlerës normale duhet të përdoret një sasi e mjaftueshme e shitjeve të produktit të ngjashëm në tregun vendor të vendit eksportues. Kjo sasi duhet të jetë së paku pesë </w:t>
      </w:r>
      <w:proofErr w:type="spellStart"/>
      <w:r w:rsidRPr="00005121">
        <w:rPr>
          <w:i/>
        </w:rPr>
        <w:t>perqind</w:t>
      </w:r>
      <w:proofErr w:type="spellEnd"/>
      <w:r w:rsidRPr="00005121">
        <w:rPr>
          <w:i/>
        </w:rPr>
        <w:t xml:space="preserve"> (5%) e sasisë së shitjeve të eksportit në Kosovë. Një sasi më e vogël mund të merret vetëm nëse dëshmohet se është mjaft përfaqësuese për nivelin e çmimeve në vendin eksportues dhe për një krahasim të saktë dhe të përshtatshëm. </w:t>
      </w:r>
    </w:p>
    <w:p w14:paraId="1635F8AA" w14:textId="77777777" w:rsidR="006C04CC" w:rsidRDefault="006C04CC" w:rsidP="00005121">
      <w:pPr>
        <w:jc w:val="both"/>
        <w:rPr>
          <w:i/>
        </w:rPr>
      </w:pPr>
      <w:r w:rsidRPr="00005121">
        <w:rPr>
          <w:i/>
        </w:rPr>
        <w:t xml:space="preserve">4. Në rastet kur nuk ka fare shitje apo kur ka shitje të pamjaftueshme të produktit të ngjashëm nën kushtet e normale të tregut, apo kur për shkak të ndonjë situate të veçantë të tregut në vendin eksportues ky vëllim i shitjes pamundëson krijimin e një baze të duhur dhe të saktë për përcaktimin </w:t>
      </w:r>
      <w:r w:rsidRPr="00005121">
        <w:rPr>
          <w:i/>
        </w:rPr>
        <w:lastRenderedPageBreak/>
        <w:t xml:space="preserve">e vlerës normale, atëherë vlera normale e produktit të ngjashëm do të përcaktohet në bazë të kostove të prodhimit në vendin e origjinës duke përfshirë këtu edhe një shumë të arsyeshme për shpenzime të shitjes, shpenzime të përgjithshme dhe administrative, si dhe një fitim të arsyeshëm të eksportuesit apo ndonjë prodhuesi/përpunuesi tjetër të produktit të ngjashëm. </w:t>
      </w:r>
    </w:p>
    <w:p w14:paraId="287802BC" w14:textId="2F913D71" w:rsidR="006C04CC" w:rsidRPr="00005121" w:rsidRDefault="006C04CC" w:rsidP="00005121">
      <w:pPr>
        <w:jc w:val="both"/>
        <w:rPr>
          <w:i/>
        </w:rPr>
      </w:pPr>
      <w:r w:rsidRPr="00005121">
        <w:rPr>
          <w:i/>
        </w:rPr>
        <w:t>5. Nëse një përcaktim i tillë në bazë të paragrafit 4 të këtij neni, duket të mos jetë i mundshëm ose i përshtatshëm, vlera normale duhet të bazohet në një shumë përfaqësuese të çmimeve të eksportit sipas tregut dhe kushteve normale tregtare nga ai vend në një vend të tretë të përshtatshëm dhe të krahasueshëm ose mbi ndonjë bazë tjetër të arsyeshme.</w:t>
      </w:r>
    </w:p>
    <w:p w14:paraId="3F4E3A16" w14:textId="77777777" w:rsidR="006467D6" w:rsidRDefault="003B7382" w:rsidP="003B7382">
      <w:r>
        <w:t xml:space="preserve">Neni 6 Trajtimi i shitjeve nën kosto duhet të fshihet. </w:t>
      </w:r>
    </w:p>
    <w:p w14:paraId="3B15DCA6" w14:textId="3CBFB227" w:rsidR="005F4FE7" w:rsidRDefault="003B7382" w:rsidP="005F4FE7">
      <w:r>
        <w:t>Neni 18</w:t>
      </w:r>
      <w:r w:rsidR="005F4FE7">
        <w:t xml:space="preserve"> Përllogaritja e shumës së subvencionit specifik </w:t>
      </w:r>
    </w:p>
    <w:p w14:paraId="3DE74061" w14:textId="77777777" w:rsidR="005F4FE7" w:rsidRPr="00005121" w:rsidRDefault="005F4FE7" w:rsidP="00005121">
      <w:pPr>
        <w:jc w:val="both"/>
        <w:rPr>
          <w:i/>
        </w:rPr>
      </w:pPr>
      <w:r w:rsidRPr="00005121">
        <w:rPr>
          <w:i/>
        </w:rPr>
        <w:t xml:space="preserve">1. Ministria i përcakton detyrimet të subvencionimit specifike për çdo përfitues për produktin nën hetim. </w:t>
      </w:r>
    </w:p>
    <w:p w14:paraId="19F06328" w14:textId="77777777" w:rsidR="005F4FE7" w:rsidRPr="00005121" w:rsidRDefault="005F4FE7" w:rsidP="00005121">
      <w:pPr>
        <w:jc w:val="both"/>
        <w:rPr>
          <w:i/>
        </w:rPr>
      </w:pPr>
      <w:r w:rsidRPr="00005121">
        <w:rPr>
          <w:i/>
        </w:rPr>
        <w:t xml:space="preserve">2. Pavarësisht nga paragrafi 1 i këtij neni, në rastet kur numri i përfituesve është shumë i madh, atëherë Ministria mund të kufizojë hetimin në një numër të arsyeshëm të përfituesve ose produkteve nën hetim të cilët mund të hetohen në mënyrë të arsyeshme. </w:t>
      </w:r>
    </w:p>
    <w:p w14:paraId="6B2F825D" w14:textId="77777777" w:rsidR="005F4FE7" w:rsidRPr="00005121" w:rsidRDefault="005F4FE7" w:rsidP="00005121">
      <w:pPr>
        <w:jc w:val="both"/>
        <w:rPr>
          <w:i/>
        </w:rPr>
      </w:pPr>
      <w:r w:rsidRPr="00005121">
        <w:rPr>
          <w:i/>
        </w:rPr>
        <w:t xml:space="preserve">3. Çdo përzgjedhje e përfituesve ose e llojeve të produkteve që është bërë në përputhje me paragrafin 2 të këtij neni, bëhet pas konsultimeve me përfituesit. </w:t>
      </w:r>
    </w:p>
    <w:p w14:paraId="77E3B71B" w14:textId="18A90892" w:rsidR="005F4FE7" w:rsidRPr="00005121" w:rsidRDefault="005F4FE7" w:rsidP="00005121">
      <w:pPr>
        <w:jc w:val="both"/>
        <w:rPr>
          <w:i/>
        </w:rPr>
      </w:pPr>
      <w:r w:rsidRPr="00005121">
        <w:rPr>
          <w:i/>
        </w:rPr>
        <w:t>4. Në rastet kur Ministria e kufizon hetimin në përputhje me paragrafët 2 dhe 3 të këtij neni, e përcakton vlerën specifike të subvencionit për çdo përfitues të cilët vullnetarisht dhe me kohë paraqesin dokumentet e nevojshme për hetim.</w:t>
      </w:r>
    </w:p>
    <w:p w14:paraId="257E77BE" w14:textId="77777777" w:rsidR="00955F0E" w:rsidRDefault="00955F0E" w:rsidP="00005121">
      <w:pPr>
        <w:jc w:val="both"/>
        <w:rPr>
          <w:i/>
        </w:rPr>
      </w:pPr>
      <w:r w:rsidRPr="00005121">
        <w:rPr>
          <w:i/>
        </w:rPr>
        <w:t xml:space="preserve">Neni 19 Përkufizimi i dëmit </w:t>
      </w:r>
    </w:p>
    <w:p w14:paraId="3078007F" w14:textId="77777777" w:rsidR="00955F0E" w:rsidRDefault="00955F0E" w:rsidP="00005121">
      <w:pPr>
        <w:jc w:val="both"/>
        <w:rPr>
          <w:i/>
        </w:rPr>
      </w:pPr>
      <w:r w:rsidRPr="00005121">
        <w:rPr>
          <w:i/>
        </w:rPr>
        <w:t xml:space="preserve">1. Dëmi nga importet e </w:t>
      </w:r>
      <w:proofErr w:type="spellStart"/>
      <w:r w:rsidRPr="00005121">
        <w:rPr>
          <w:i/>
        </w:rPr>
        <w:t>dampuara</w:t>
      </w:r>
      <w:proofErr w:type="spellEnd"/>
      <w:r w:rsidRPr="00005121">
        <w:rPr>
          <w:i/>
        </w:rPr>
        <w:t xml:space="preserve"> ose të subvencionuara duhet të përcaktohet jo vetëm kur shkaktohen dëmtime materiale ekonomike ose financiare drejtpërdrejti në industrinë vendore të Kosovës, por edhe kur ka një kërcënim nga ai dëm ose ka një ngecje materiale të krijimit apo zhvillimit të një industrie vendore të Kosovës. </w:t>
      </w:r>
    </w:p>
    <w:p w14:paraId="54BEA403" w14:textId="77777777" w:rsidR="00955F0E" w:rsidRDefault="00955F0E" w:rsidP="00005121">
      <w:pPr>
        <w:jc w:val="both"/>
        <w:rPr>
          <w:i/>
        </w:rPr>
      </w:pPr>
      <w:r w:rsidRPr="00005121">
        <w:rPr>
          <w:i/>
        </w:rPr>
        <w:t xml:space="preserve">2. Përcaktimi i dëmit duhet të bazohet në prova dhe duhet të përfshijë një ekzaminim objektiv dhe të drejtë të: </w:t>
      </w:r>
    </w:p>
    <w:p w14:paraId="0F0405A2" w14:textId="77777777" w:rsidR="00955F0E" w:rsidRDefault="00955F0E" w:rsidP="00005121">
      <w:pPr>
        <w:ind w:left="720"/>
        <w:jc w:val="both"/>
        <w:rPr>
          <w:i/>
        </w:rPr>
      </w:pPr>
      <w:r w:rsidRPr="00005121">
        <w:rPr>
          <w:i/>
        </w:rPr>
        <w:t xml:space="preserve">2.1. vëllimit të importeve të </w:t>
      </w:r>
      <w:proofErr w:type="spellStart"/>
      <w:r w:rsidRPr="00005121">
        <w:rPr>
          <w:i/>
        </w:rPr>
        <w:t>dampuara</w:t>
      </w:r>
      <w:proofErr w:type="spellEnd"/>
      <w:r w:rsidRPr="00005121">
        <w:rPr>
          <w:i/>
        </w:rPr>
        <w:t xml:space="preserve"> ose të subvencionuara, veçanërisht në qoftë se vëllimi ka shënuar një rritje të konsiderueshme në kritere absolute ose relative në raport me prodhimin industrial ose konsumin e produktit të ngjashëm në Kosovë; </w:t>
      </w:r>
    </w:p>
    <w:p w14:paraId="0F22C76D" w14:textId="2858D6B8" w:rsidR="00955F0E" w:rsidRPr="00005121" w:rsidRDefault="00955F0E" w:rsidP="00005121">
      <w:pPr>
        <w:ind w:left="720"/>
        <w:jc w:val="both"/>
        <w:rPr>
          <w:i/>
        </w:rPr>
      </w:pPr>
      <w:r w:rsidRPr="00005121">
        <w:rPr>
          <w:i/>
        </w:rPr>
        <w:t xml:space="preserve">2.2. ndikimit të mëvonshëm të këtyre importeve të </w:t>
      </w:r>
      <w:proofErr w:type="spellStart"/>
      <w:r w:rsidRPr="00005121">
        <w:rPr>
          <w:i/>
        </w:rPr>
        <w:t>dampuara</w:t>
      </w:r>
      <w:proofErr w:type="spellEnd"/>
      <w:r w:rsidRPr="00005121">
        <w:rPr>
          <w:i/>
        </w:rPr>
        <w:t xml:space="preserve"> ose të subvencionuara në industrinë vendore të Kosovës. Ky ndikim duhet të përcaktohet në bazë të informacioneve ekzistuese ose potenciale ekonomike dhe / ose financiare, të dhënave dhe treguesve, të tilla si rënia e shitjes, çmimeve dhe / ose rezultateve, parandalimi i rritjes së çmimeve, zvogëlimi në aksionet e tregut, produktiviteti, dhe / ose fitimet, ose një ndikim negativ në rezerva, punësim, paga, likuiditet, rrjedhë të parasë së gatshme, kthim nga investimi, shfrytëzim të kapaciteteve, inventarë, rritje, aftësi për të rritur kapitalin ose investimet.</w:t>
      </w:r>
    </w:p>
    <w:p w14:paraId="0B8382C3" w14:textId="77777777" w:rsidR="00946B4F" w:rsidRDefault="003B7382" w:rsidP="00005121">
      <w:pPr>
        <w:jc w:val="both"/>
      </w:pPr>
      <w:r>
        <w:lastRenderedPageBreak/>
        <w:t xml:space="preserve">Neni 28, Vendimi për fillimin e hetimeve: </w:t>
      </w:r>
    </w:p>
    <w:p w14:paraId="6C3FD8D1" w14:textId="77777777" w:rsidR="003C0E13" w:rsidRDefault="003C0E13" w:rsidP="00005121">
      <w:pPr>
        <w:jc w:val="both"/>
        <w:rPr>
          <w:i/>
        </w:rPr>
      </w:pPr>
      <w:r w:rsidRPr="00005121">
        <w:rPr>
          <w:i/>
        </w:rPr>
        <w:t>1. Pas shqyrtimit dhe verifikimit të informatave të ofruara në kërkesë (ankesë), Ministria, me një raport të vlerësimit të saj i paraqet ato për vlerësim dhe konsultim pranë Komisionit. Para marrjes së vendimit për filli</w:t>
      </w:r>
      <w:r w:rsidRPr="003C0E13">
        <w:rPr>
          <w:i/>
        </w:rPr>
        <w:t>min e hetimit Min</w:t>
      </w:r>
      <w:r w:rsidRPr="00005121">
        <w:rPr>
          <w:i/>
        </w:rPr>
        <w:t>istria dhe/ose Komisioni mund të kërkojnë informacione shtesë nga parashtruesit e kërkesës. Ministria vendos për hapjen e një hetimi pas këshillimit me Komisionin.</w:t>
      </w:r>
    </w:p>
    <w:p w14:paraId="565AAC75" w14:textId="77777777" w:rsidR="003C0E13" w:rsidRDefault="003C0E13" w:rsidP="00005121">
      <w:pPr>
        <w:jc w:val="both"/>
        <w:rPr>
          <w:i/>
        </w:rPr>
      </w:pPr>
      <w:r w:rsidRPr="00005121">
        <w:rPr>
          <w:i/>
        </w:rPr>
        <w:t xml:space="preserve"> 2. Kur Ministria merr vendim për të hapur një hetim pa kërkesë me shkrim nga ose në emër të industrisë vendore të Kosovës, atëherë ky vendim duhet të bazohet në informacione, dëshmi dhe të dhëna të mjaftueshme mbi dëmin material të </w:t>
      </w:r>
      <w:proofErr w:type="spellStart"/>
      <w:r w:rsidRPr="00005121">
        <w:rPr>
          <w:i/>
        </w:rPr>
        <w:t>dampingut</w:t>
      </w:r>
      <w:proofErr w:type="spellEnd"/>
      <w:r w:rsidRPr="00005121">
        <w:rPr>
          <w:i/>
        </w:rPr>
        <w:t xml:space="preserve"> ose subvencionit, dhe lidhjen shkakësore, në përputhje me Kreun II, III dhe IV të këtij ligji. </w:t>
      </w:r>
    </w:p>
    <w:p w14:paraId="0E351598" w14:textId="77777777" w:rsidR="003C0E13" w:rsidRDefault="003C0E13" w:rsidP="00005121">
      <w:pPr>
        <w:jc w:val="both"/>
        <w:rPr>
          <w:i/>
        </w:rPr>
      </w:pPr>
      <w:r w:rsidRPr="00005121">
        <w:rPr>
          <w:i/>
        </w:rPr>
        <w:t xml:space="preserve">3. Kërkesa për fillimin e një hetimi, duhet të refuzohet nga Ministria, pas konsultimit të Komisionit, atëherë kur ka informacione ose të dhëna të pamjaftueshme për të justifikuar hapjen e një procedure. </w:t>
      </w:r>
    </w:p>
    <w:p w14:paraId="40BC71A9" w14:textId="77777777" w:rsidR="003C0E13" w:rsidRDefault="003C0E13" w:rsidP="00005121">
      <w:pPr>
        <w:jc w:val="both"/>
        <w:rPr>
          <w:i/>
        </w:rPr>
      </w:pPr>
      <w:r w:rsidRPr="00005121">
        <w:rPr>
          <w:i/>
        </w:rPr>
        <w:t xml:space="preserve">4. Hetimi nuk do të hapet ndaj vendeve eksportuese importet të cilave në Kosovë paraqesin një pjesëmarrje në treg prej më pak se një </w:t>
      </w:r>
      <w:proofErr w:type="spellStart"/>
      <w:r w:rsidRPr="00005121">
        <w:rPr>
          <w:i/>
        </w:rPr>
        <w:t>përqind</w:t>
      </w:r>
      <w:proofErr w:type="spellEnd"/>
      <w:r w:rsidRPr="00005121">
        <w:rPr>
          <w:i/>
        </w:rPr>
        <w:t xml:space="preserve"> (1%), përveç nëse dhe në rastin e një ankese kundër disa vendeve eksportuese, kur këto vende së bashku përbëjnë më shumë se tre </w:t>
      </w:r>
      <w:proofErr w:type="spellStart"/>
      <w:r w:rsidRPr="00005121">
        <w:rPr>
          <w:i/>
        </w:rPr>
        <w:t>përqind</w:t>
      </w:r>
      <w:proofErr w:type="spellEnd"/>
      <w:r w:rsidRPr="00005121">
        <w:rPr>
          <w:i/>
        </w:rPr>
        <w:t xml:space="preserve"> (3%) të konsumit të brendshëm të Kosovës. </w:t>
      </w:r>
    </w:p>
    <w:p w14:paraId="60ED91FB" w14:textId="77777777" w:rsidR="003C0E13" w:rsidRDefault="003C0E13" w:rsidP="00005121">
      <w:pPr>
        <w:jc w:val="both"/>
        <w:rPr>
          <w:i/>
        </w:rPr>
      </w:pPr>
      <w:r w:rsidRPr="00005121">
        <w:rPr>
          <w:i/>
        </w:rPr>
        <w:t xml:space="preserve">5. Hetimi në bazë të një kërkese duhet të fillohet vetëm nëse përcaktohet se: </w:t>
      </w:r>
    </w:p>
    <w:p w14:paraId="2BA2FDAF" w14:textId="77777777" w:rsidR="003C0E13" w:rsidRDefault="003C0E13" w:rsidP="00005121">
      <w:pPr>
        <w:ind w:left="720"/>
        <w:jc w:val="both"/>
        <w:rPr>
          <w:i/>
        </w:rPr>
      </w:pPr>
      <w:r w:rsidRPr="00005121">
        <w:rPr>
          <w:i/>
        </w:rPr>
        <w:t xml:space="preserve">5.1 kërkesa me shkrim nga industria vendore e Kosovës është dorëzuar në pajtim me këtë ligj; dhe, 5.2 niveli i mbështetjes për kërkesën është i barabartë me ose më shumë se njëzet e pesë </w:t>
      </w:r>
      <w:proofErr w:type="spellStart"/>
      <w:r w:rsidRPr="00005121">
        <w:rPr>
          <w:i/>
        </w:rPr>
        <w:t>përqind</w:t>
      </w:r>
      <w:proofErr w:type="spellEnd"/>
      <w:r w:rsidRPr="00005121">
        <w:rPr>
          <w:i/>
        </w:rPr>
        <w:t xml:space="preserve"> (25%) të prodhimit total të produktit të ngjashëm të prodhuar nga industria vendore e Kosovës.</w:t>
      </w:r>
    </w:p>
    <w:p w14:paraId="3DB8D5A1" w14:textId="77777777" w:rsidR="00111BE4" w:rsidRDefault="003C0E13" w:rsidP="00005121">
      <w:pPr>
        <w:jc w:val="both"/>
        <w:rPr>
          <w:i/>
        </w:rPr>
      </w:pPr>
      <w:r w:rsidRPr="00005121">
        <w:rPr>
          <w:i/>
        </w:rPr>
        <w:t xml:space="preserve"> 6. Do të konsiderohet se kërkesa është bërë nga ose në emër të industrisë vendore të Kosovës vetëm nëse është mbështetur nga: </w:t>
      </w:r>
    </w:p>
    <w:p w14:paraId="478F1F05" w14:textId="77777777" w:rsidR="00111BE4" w:rsidRDefault="003C0E13" w:rsidP="00005121">
      <w:pPr>
        <w:ind w:left="720"/>
        <w:jc w:val="both"/>
        <w:rPr>
          <w:i/>
        </w:rPr>
      </w:pPr>
      <w:r w:rsidRPr="00005121">
        <w:rPr>
          <w:i/>
        </w:rPr>
        <w:t xml:space="preserve">6.1. ose Prodhuesit Kosovar prodhimi i të cilëve përbën baras ose më shumë se pesëdhjetë </w:t>
      </w:r>
      <w:proofErr w:type="spellStart"/>
      <w:r w:rsidRPr="00005121">
        <w:rPr>
          <w:i/>
        </w:rPr>
        <w:t>përqind</w:t>
      </w:r>
      <w:proofErr w:type="spellEnd"/>
      <w:r w:rsidRPr="00005121">
        <w:rPr>
          <w:i/>
        </w:rPr>
        <w:t xml:space="preserve"> (50%) të prodhimit total të produktit të ngjashëm; ose, </w:t>
      </w:r>
    </w:p>
    <w:p w14:paraId="6E81E587" w14:textId="6DA9927B" w:rsidR="00111BE4" w:rsidRDefault="003C0E13" w:rsidP="00005121">
      <w:pPr>
        <w:ind w:left="720"/>
        <w:jc w:val="both"/>
        <w:rPr>
          <w:i/>
        </w:rPr>
      </w:pPr>
      <w:r w:rsidRPr="00005121">
        <w:rPr>
          <w:i/>
        </w:rPr>
        <w:t>6.2. nëse kundërshtimi i shprehur për aplikimin e prodhuesve të Kosovë</w:t>
      </w:r>
      <w:r w:rsidR="00111BE4" w:rsidRPr="00111BE4">
        <w:rPr>
          <w:i/>
        </w:rPr>
        <w:t>s është më pak se prodhimi i kë</w:t>
      </w:r>
      <w:r w:rsidRPr="00005121">
        <w:rPr>
          <w:i/>
        </w:rPr>
        <w:t xml:space="preserve">tyre prodhuesve që e mbështesin kërkesën. </w:t>
      </w:r>
    </w:p>
    <w:p w14:paraId="1E4800D3" w14:textId="77777777" w:rsidR="003F6078" w:rsidRDefault="003C0E13" w:rsidP="00005121">
      <w:pPr>
        <w:jc w:val="both"/>
        <w:rPr>
          <w:i/>
        </w:rPr>
      </w:pPr>
      <w:r w:rsidRPr="00005121">
        <w:t>7. do kërkesë në përputhje me dispozitat e këtij neni, mund të tërhiqet përpara se të fillon hetimi dhe në këtë rast do të konsiderohet se nuk është paraqitur fare.</w:t>
      </w:r>
    </w:p>
    <w:p w14:paraId="012C7C22" w14:textId="6478E477" w:rsidR="003F6078" w:rsidRDefault="003C0E13" w:rsidP="00005121">
      <w:pPr>
        <w:jc w:val="both"/>
        <w:rPr>
          <w:i/>
        </w:rPr>
      </w:pPr>
      <w:r w:rsidRPr="00005121">
        <w:rPr>
          <w:i/>
        </w:rPr>
        <w:t xml:space="preserve"> 8. Më së shumti një muaj pas dorëzimit të </w:t>
      </w:r>
      <w:proofErr w:type="spellStart"/>
      <w:r w:rsidRPr="00005121">
        <w:rPr>
          <w:i/>
        </w:rPr>
        <w:t>kërkesesë</w:t>
      </w:r>
      <w:proofErr w:type="spellEnd"/>
      <w:r w:rsidRPr="00005121">
        <w:rPr>
          <w:i/>
        </w:rPr>
        <w:t xml:space="preserve"> ankesës Ministria vendos </w:t>
      </w:r>
      <w:r w:rsidR="003F6078" w:rsidRPr="003F6078">
        <w:rPr>
          <w:i/>
        </w:rPr>
        <w:t>për hapjen ose mos hapjen e pro</w:t>
      </w:r>
      <w:r w:rsidRPr="00005121">
        <w:rPr>
          <w:i/>
        </w:rPr>
        <w:t xml:space="preserve">cedurës. </w:t>
      </w:r>
    </w:p>
    <w:p w14:paraId="0CE18ED6" w14:textId="77777777" w:rsidR="003F6078" w:rsidRDefault="003C0E13" w:rsidP="00005121">
      <w:pPr>
        <w:jc w:val="both"/>
        <w:rPr>
          <w:i/>
        </w:rPr>
      </w:pPr>
      <w:r w:rsidRPr="00005121">
        <w:rPr>
          <w:i/>
        </w:rPr>
        <w:t xml:space="preserve">9. Kur Ministria vendos të mos fillojë një hetim, atëherë për këtë fakt parashtruesi i kërkesës duhet të njoftohet me shkrim. Ky njoftim është i hapur për shqyrtim gjyqësor. </w:t>
      </w:r>
    </w:p>
    <w:p w14:paraId="146B4D42" w14:textId="77777777" w:rsidR="003F6078" w:rsidRDefault="003C0E13" w:rsidP="00005121">
      <w:pPr>
        <w:jc w:val="both"/>
        <w:rPr>
          <w:i/>
        </w:rPr>
      </w:pPr>
      <w:r w:rsidRPr="00005121">
        <w:rPr>
          <w:i/>
        </w:rPr>
        <w:t>10. Ministria kërkon nga Komisioni mendimin e tij për të filluar ose për të mos fill</w:t>
      </w:r>
      <w:r w:rsidR="003F6078" w:rsidRPr="003F6078">
        <w:rPr>
          <w:i/>
        </w:rPr>
        <w:t xml:space="preserve">uar një hetim në lidhje me </w:t>
      </w:r>
      <w:proofErr w:type="spellStart"/>
      <w:r w:rsidR="003F6078" w:rsidRPr="003F6078">
        <w:rPr>
          <w:i/>
        </w:rPr>
        <w:t>damp</w:t>
      </w:r>
      <w:r w:rsidRPr="00005121">
        <w:rPr>
          <w:i/>
        </w:rPr>
        <w:t>ing</w:t>
      </w:r>
      <w:proofErr w:type="spellEnd"/>
      <w:r w:rsidRPr="00005121">
        <w:rPr>
          <w:i/>
        </w:rPr>
        <w:t xml:space="preserve"> apo subvencionim brenda dy (2) javësh pas dorëzimit të </w:t>
      </w:r>
      <w:proofErr w:type="spellStart"/>
      <w:r w:rsidRPr="00005121">
        <w:rPr>
          <w:i/>
        </w:rPr>
        <w:t>kërkeses</w:t>
      </w:r>
      <w:proofErr w:type="spellEnd"/>
      <w:r w:rsidRPr="00005121">
        <w:rPr>
          <w:i/>
        </w:rPr>
        <w:t xml:space="preserve"> ankesës nga </w:t>
      </w:r>
      <w:r w:rsidRPr="00005121">
        <w:rPr>
          <w:i/>
        </w:rPr>
        <w:lastRenderedPageBreak/>
        <w:t>ana e industrisë vendore të Kosovës. Kur Ministria ose Komisioni kërkojnë informata shtesë nga parashtruesi</w:t>
      </w:r>
      <w:r w:rsidR="003F6078" w:rsidRPr="003F6078">
        <w:rPr>
          <w:i/>
        </w:rPr>
        <w:t xml:space="preserve"> i kërkesës, ky afat mund të zg</w:t>
      </w:r>
      <w:r w:rsidRPr="00005121">
        <w:rPr>
          <w:i/>
        </w:rPr>
        <w:t xml:space="preserve">jatet deri në një (1) muaj. </w:t>
      </w:r>
    </w:p>
    <w:p w14:paraId="7EB610BE" w14:textId="77777777" w:rsidR="003F6078" w:rsidRDefault="003C0E13" w:rsidP="00005121">
      <w:pPr>
        <w:jc w:val="both"/>
        <w:rPr>
          <w:i/>
        </w:rPr>
      </w:pPr>
      <w:r w:rsidRPr="00005121">
        <w:rPr>
          <w:i/>
        </w:rPr>
        <w:t xml:space="preserve">11. Ministria nuk do ta fillojë hetimin për produktin e importuar, nëse është konstatuar se: </w:t>
      </w:r>
    </w:p>
    <w:p w14:paraId="76581967" w14:textId="77777777" w:rsidR="003F6078" w:rsidRDefault="003C0E13" w:rsidP="00005121">
      <w:pPr>
        <w:ind w:left="720"/>
        <w:jc w:val="both"/>
        <w:rPr>
          <w:i/>
        </w:rPr>
      </w:pPr>
      <w:r w:rsidRPr="00005121">
        <w:rPr>
          <w:i/>
        </w:rPr>
        <w:t xml:space="preserve">11.1. në rast të </w:t>
      </w:r>
      <w:proofErr w:type="spellStart"/>
      <w:r w:rsidRPr="00005121">
        <w:rPr>
          <w:i/>
        </w:rPr>
        <w:t>dampingut</w:t>
      </w:r>
      <w:proofErr w:type="spellEnd"/>
      <w:r w:rsidRPr="00005121">
        <w:rPr>
          <w:i/>
        </w:rPr>
        <w:t xml:space="preserve">, marzha e </w:t>
      </w:r>
      <w:proofErr w:type="spellStart"/>
      <w:r w:rsidRPr="00005121">
        <w:rPr>
          <w:i/>
        </w:rPr>
        <w:t>dampingut</w:t>
      </w:r>
      <w:proofErr w:type="spellEnd"/>
      <w:r w:rsidRPr="00005121">
        <w:rPr>
          <w:i/>
        </w:rPr>
        <w:t xml:space="preserve"> është më pak se dy </w:t>
      </w:r>
      <w:proofErr w:type="spellStart"/>
      <w:r w:rsidRPr="00005121">
        <w:rPr>
          <w:i/>
        </w:rPr>
        <w:t>përqind</w:t>
      </w:r>
      <w:proofErr w:type="spellEnd"/>
      <w:r w:rsidRPr="00005121">
        <w:rPr>
          <w:i/>
        </w:rPr>
        <w:t xml:space="preserve"> (2%); </w:t>
      </w:r>
    </w:p>
    <w:p w14:paraId="1CDC6E00" w14:textId="2CD37C28" w:rsidR="003C0E13" w:rsidRPr="00005121" w:rsidRDefault="003C0E13" w:rsidP="00005121">
      <w:pPr>
        <w:ind w:left="720"/>
        <w:jc w:val="both"/>
        <w:rPr>
          <w:i/>
        </w:rPr>
      </w:pPr>
      <w:r w:rsidRPr="00005121">
        <w:rPr>
          <w:i/>
        </w:rPr>
        <w:t xml:space="preserve">11.2. në rastin e subvencionimit shuma e subvencioneve është më pak se një </w:t>
      </w:r>
      <w:proofErr w:type="spellStart"/>
      <w:r w:rsidRPr="00005121">
        <w:rPr>
          <w:i/>
        </w:rPr>
        <w:t>përqind</w:t>
      </w:r>
      <w:proofErr w:type="spellEnd"/>
      <w:r w:rsidRPr="00005121">
        <w:rPr>
          <w:i/>
        </w:rPr>
        <w:t xml:space="preserve"> (1%).</w:t>
      </w:r>
    </w:p>
    <w:p w14:paraId="5309740A" w14:textId="5FFBFFA3" w:rsidR="003B7382" w:rsidRDefault="003B7382" w:rsidP="00005121">
      <w:pPr>
        <w:jc w:val="both"/>
      </w:pPr>
    </w:p>
    <w:p w14:paraId="3B0FD5FA" w14:textId="06794D25" w:rsidR="00BE4214" w:rsidRPr="00005121" w:rsidRDefault="00BE4214" w:rsidP="00005121">
      <w:pPr>
        <w:jc w:val="both"/>
        <w:rPr>
          <w:i/>
        </w:rPr>
      </w:pPr>
      <w:r w:rsidRPr="00005121">
        <w:rPr>
          <w:i/>
        </w:rPr>
        <w:t xml:space="preserve">Neni 32 Hetimi </w:t>
      </w:r>
    </w:p>
    <w:p w14:paraId="6E3EBA99" w14:textId="77777777" w:rsidR="00BE4214" w:rsidRPr="00005121" w:rsidRDefault="00BE4214" w:rsidP="00005121">
      <w:pPr>
        <w:jc w:val="both"/>
        <w:rPr>
          <w:i/>
        </w:rPr>
      </w:pPr>
      <w:r w:rsidRPr="00005121">
        <w:rPr>
          <w:i/>
        </w:rPr>
        <w:t xml:space="preserve">1. Pas fillimit të procedurës, Ministria do të fillojë një hetim në Kosovë dhe, sipas nevojës, në vendin eksportues ose të origjinës. Një hetim i tillë do të mbulojë </w:t>
      </w:r>
      <w:proofErr w:type="spellStart"/>
      <w:r w:rsidRPr="00005121">
        <w:rPr>
          <w:i/>
        </w:rPr>
        <w:t>dampingun</w:t>
      </w:r>
      <w:proofErr w:type="spellEnd"/>
      <w:r w:rsidRPr="00005121">
        <w:rPr>
          <w:i/>
        </w:rPr>
        <w:t xml:space="preserve"> respektivisht subvencionimin, dhe dëmin e tyre, dhe këto duhet të hetohen njëkohësisht, në Kosovë, interesi i Kosovës mund të hetohet po ashtu. </w:t>
      </w:r>
    </w:p>
    <w:p w14:paraId="716B0E97" w14:textId="77777777" w:rsidR="00BE4214" w:rsidRPr="00005121" w:rsidRDefault="00BE4214" w:rsidP="00005121">
      <w:pPr>
        <w:jc w:val="both"/>
        <w:rPr>
          <w:i/>
        </w:rPr>
      </w:pPr>
      <w:r w:rsidRPr="00005121">
        <w:rPr>
          <w:i/>
        </w:rPr>
        <w:t xml:space="preserve">2. Me qëllim të konstatimit përfaqësues, duhet të përzgjidhet një periudhë hetimi e cila: </w:t>
      </w:r>
    </w:p>
    <w:p w14:paraId="2D4AE3CF" w14:textId="77777777" w:rsidR="00BE4214" w:rsidRPr="00005121" w:rsidRDefault="00BE4214" w:rsidP="00005121">
      <w:pPr>
        <w:ind w:left="720"/>
        <w:jc w:val="both"/>
        <w:rPr>
          <w:i/>
        </w:rPr>
      </w:pPr>
      <w:r w:rsidRPr="00005121">
        <w:rPr>
          <w:i/>
        </w:rPr>
        <w:t xml:space="preserve">2.1. në rast të </w:t>
      </w:r>
      <w:proofErr w:type="spellStart"/>
      <w:r w:rsidRPr="00005121">
        <w:rPr>
          <w:i/>
        </w:rPr>
        <w:t>dampingut</w:t>
      </w:r>
      <w:proofErr w:type="spellEnd"/>
      <w:r w:rsidRPr="00005121">
        <w:rPr>
          <w:i/>
        </w:rPr>
        <w:t xml:space="preserve"> ose subvencionimit zakonisht duhet të mbulojë deri në dymbëdhjetë muaj duke përfunduar sa më afër datës së fillimit të procedimit që të jetë e mundur, informacionet në lidhje me periudhën e mëvonshme pas kësaj periudhë të hetimit, normalisht nuk do të merren parasysh;</w:t>
      </w:r>
    </w:p>
    <w:p w14:paraId="30B58F40" w14:textId="77777777" w:rsidR="00BE4214" w:rsidRPr="00005121" w:rsidRDefault="00BE4214" w:rsidP="00005121">
      <w:pPr>
        <w:ind w:left="720"/>
        <w:jc w:val="both"/>
        <w:rPr>
          <w:i/>
        </w:rPr>
      </w:pPr>
      <w:r w:rsidRPr="00005121">
        <w:rPr>
          <w:i/>
        </w:rPr>
        <w:t xml:space="preserve"> 2.2. në rastin e dëmtimit zakonisht do të mbulojë minimum tre (3) vjet. </w:t>
      </w:r>
    </w:p>
    <w:p w14:paraId="67DE7A38" w14:textId="77777777" w:rsidR="00BE4214" w:rsidRPr="00005121" w:rsidRDefault="00BE4214" w:rsidP="00005121">
      <w:pPr>
        <w:jc w:val="both"/>
        <w:rPr>
          <w:i/>
        </w:rPr>
      </w:pPr>
      <w:r w:rsidRPr="00005121">
        <w:rPr>
          <w:i/>
        </w:rPr>
        <w:t xml:space="preserve">3. Ministria do të dërgojë palëve pyetësorë që mbulojnë </w:t>
      </w:r>
      <w:proofErr w:type="spellStart"/>
      <w:r w:rsidRPr="00005121">
        <w:rPr>
          <w:i/>
        </w:rPr>
        <w:t>dampingun</w:t>
      </w:r>
      <w:proofErr w:type="spellEnd"/>
      <w:r w:rsidRPr="00005121">
        <w:rPr>
          <w:i/>
        </w:rPr>
        <w:t xml:space="preserve"> ose subvencionin dhe dëmet e tyre. Palëve që marrin këta pyetësorë duhet tu </w:t>
      </w:r>
      <w:proofErr w:type="spellStart"/>
      <w:r w:rsidRPr="00005121">
        <w:rPr>
          <w:i/>
        </w:rPr>
        <w:t>ipen</w:t>
      </w:r>
      <w:proofErr w:type="spellEnd"/>
      <w:r w:rsidRPr="00005121">
        <w:rPr>
          <w:i/>
        </w:rPr>
        <w:t xml:space="preserve"> të paktën dyzet e pesë (45) ditë për tu përgjigjur. 4. Afati kohor për eksportuesit do të llogaritet nga data e pranimit të pyetësorit, i cili për këtë qëllim duhet të konsiderohet të ketë qenë pranuar një javë nga dita në të cilën i është dërguar të palës nën hetim ose është transmetuar tek përfaqësuesi adekuat diplomatik i vendit të origjinës dhe/ose eksportit. </w:t>
      </w:r>
    </w:p>
    <w:p w14:paraId="6E03FE21" w14:textId="77777777" w:rsidR="00BE4214" w:rsidRPr="00005121" w:rsidRDefault="00BE4214" w:rsidP="00005121">
      <w:pPr>
        <w:jc w:val="both"/>
        <w:rPr>
          <w:i/>
        </w:rPr>
      </w:pPr>
      <w:r w:rsidRPr="00005121">
        <w:rPr>
          <w:i/>
        </w:rPr>
        <w:t xml:space="preserve">5. Afati dyzet e pesë (45) ditor mund të zgjatet, duke marrë parasysh afatet e hetimit, me kusht që pala të tregon shkakun për shtyrjen e tillë, në bazë të rrethanave të veçanta të tij. </w:t>
      </w:r>
    </w:p>
    <w:p w14:paraId="6F502B94" w14:textId="77777777" w:rsidR="00BE4214" w:rsidRPr="00005121" w:rsidRDefault="00BE4214" w:rsidP="00005121">
      <w:pPr>
        <w:jc w:val="both"/>
        <w:rPr>
          <w:i/>
        </w:rPr>
      </w:pPr>
      <w:r w:rsidRPr="00005121">
        <w:rPr>
          <w:i/>
        </w:rPr>
        <w:t xml:space="preserve">6. Pyetësorët duhet të plotësohen në një nga gjuhët zyrtare të Kosovës. </w:t>
      </w:r>
    </w:p>
    <w:p w14:paraId="3EF638F6" w14:textId="77777777" w:rsidR="00BE4214" w:rsidRPr="00005121" w:rsidRDefault="00BE4214" w:rsidP="00005121">
      <w:pPr>
        <w:jc w:val="both"/>
        <w:rPr>
          <w:i/>
        </w:rPr>
      </w:pPr>
      <w:r w:rsidRPr="00005121">
        <w:rPr>
          <w:i/>
        </w:rPr>
        <w:t xml:space="preserve">7. Sipas kërkesës, duhet të ofrohen mundësitë për importuesit, eksportuesit dhe industrinë vendore të Kosovës dhe ku është e përshtatshme, Qeverinë e vendit të origjinës dhe/ose eksportit ose ndonjë palë tjetër të interesuar, të takohen ato palë që kanë interesa të kundërta, në mënyrë që të mund të paraqiten këndvështrimet e kundërta dhe argumentet e ofruara akuzuese. Ofrimi i mundësive të tilla duhet të marrë parasysh nevojën për të ruajtur </w:t>
      </w:r>
      <w:proofErr w:type="spellStart"/>
      <w:r w:rsidRPr="00005121">
        <w:rPr>
          <w:i/>
        </w:rPr>
        <w:t>konfidencialitetin</w:t>
      </w:r>
      <w:proofErr w:type="spellEnd"/>
      <w:r w:rsidRPr="00005121">
        <w:rPr>
          <w:i/>
        </w:rPr>
        <w:t xml:space="preserve"> dhe </w:t>
      </w:r>
      <w:proofErr w:type="spellStart"/>
      <w:r w:rsidRPr="00005121">
        <w:rPr>
          <w:i/>
        </w:rPr>
        <w:t>komoditetin</w:t>
      </w:r>
      <w:proofErr w:type="spellEnd"/>
      <w:r w:rsidRPr="00005121">
        <w:rPr>
          <w:i/>
        </w:rPr>
        <w:t xml:space="preserve"> për palët. Nuk duhet të ketë asnjë detyrim për asnjërën palë të marrë pjesë në takim, dhe dështimi për të bërë këtë nuk duhet të paragjykoj rastin e asaj pale. Informacioni gojor i dhënë sipas këtij paragrafi, duhet të merret parasysh nga Ministria për aq sa është i konfirmuar më pas me shkrim. </w:t>
      </w:r>
    </w:p>
    <w:p w14:paraId="3905FA89" w14:textId="77777777" w:rsidR="00BE4214" w:rsidRPr="00005121" w:rsidRDefault="00BE4214" w:rsidP="00005121">
      <w:pPr>
        <w:jc w:val="both"/>
        <w:rPr>
          <w:i/>
        </w:rPr>
      </w:pPr>
      <w:r w:rsidRPr="00005121">
        <w:rPr>
          <w:i/>
        </w:rPr>
        <w:t xml:space="preserve">8. Në bazë të kërkesës me shkrim palët e interesuara munden t’i inspektojnë të gjitha informatat e vëna në dispozicion të Ministrisë nga secila palë në një hetim e cila është relevante për prezantimin </w:t>
      </w:r>
      <w:r w:rsidRPr="00005121">
        <w:rPr>
          <w:i/>
        </w:rPr>
        <w:lastRenderedPageBreak/>
        <w:t xml:space="preserve">e rasteve të veta dhe që nuk janë </w:t>
      </w:r>
      <w:proofErr w:type="spellStart"/>
      <w:r w:rsidRPr="00005121">
        <w:rPr>
          <w:i/>
        </w:rPr>
        <w:t>konfidenciale</w:t>
      </w:r>
      <w:proofErr w:type="spellEnd"/>
      <w:r w:rsidRPr="00005121">
        <w:rPr>
          <w:i/>
        </w:rPr>
        <w:t xml:space="preserve">, dhe që përdoren në hetim. Pala e tillë e interesuar mund të përgjigjet në informacionet e tilla dhe komentet e tyre duhet të merren parasysh kurdo që ato janë të arsyetuara sa duhet në përgjigje. </w:t>
      </w:r>
    </w:p>
    <w:p w14:paraId="1E5B4B74" w14:textId="77777777" w:rsidR="00BE4214" w:rsidRPr="00005121" w:rsidRDefault="00BE4214" w:rsidP="00005121">
      <w:pPr>
        <w:jc w:val="both"/>
        <w:rPr>
          <w:i/>
        </w:rPr>
      </w:pPr>
      <w:r w:rsidRPr="00005121">
        <w:rPr>
          <w:i/>
        </w:rPr>
        <w:t xml:space="preserve">9. Informacioni i cili është ofruar nga palët e interesuara dhe mbi bazën e të cilit mund të bazohen gjetjet duhet të shqyrtohet nga Ministria për korrektësinë dhe saktësinë e tij për aq sa është e mundur. </w:t>
      </w:r>
    </w:p>
    <w:p w14:paraId="1D289157" w14:textId="53DD28C4" w:rsidR="00BE4214" w:rsidRPr="00BF2E87" w:rsidRDefault="00BE4214" w:rsidP="00005121">
      <w:pPr>
        <w:jc w:val="both"/>
        <w:rPr>
          <w:i/>
        </w:rPr>
      </w:pPr>
      <w:r w:rsidRPr="00005121">
        <w:rPr>
          <w:i/>
        </w:rPr>
        <w:t xml:space="preserve">10. Gjatë hetimit të subvencionit, Ministria duhet t’i ofrojë Qeverisë së vendit të origjinës dhe/ose të eksportit një mundësi të arsyeshme për të vazhduar konsultimet me qëllim të qartësimit të gjendjes faktike dhe të arrijnë në një zgjidhje të </w:t>
      </w:r>
      <w:proofErr w:type="spellStart"/>
      <w:r w:rsidRPr="00005121">
        <w:rPr>
          <w:i/>
        </w:rPr>
        <w:t>dakorduar</w:t>
      </w:r>
      <w:proofErr w:type="spellEnd"/>
      <w:r w:rsidRPr="00005121">
        <w:rPr>
          <w:i/>
        </w:rPr>
        <w:t xml:space="preserve"> reciprokisht</w:t>
      </w:r>
      <w:r w:rsidR="00A71589">
        <w:rPr>
          <w:i/>
        </w:rPr>
        <w:t>.</w:t>
      </w:r>
    </w:p>
    <w:p w14:paraId="22D0F2DB" w14:textId="76913FEE" w:rsidR="00F82CCE" w:rsidRDefault="003B7382" w:rsidP="00005121">
      <w:pPr>
        <w:jc w:val="both"/>
      </w:pPr>
      <w:r>
        <w:t>Neni 33</w:t>
      </w:r>
      <w:r w:rsidR="00F82CCE">
        <w:t xml:space="preserve"> Seanca shqyrtuese</w:t>
      </w:r>
    </w:p>
    <w:p w14:paraId="60E807F1" w14:textId="77777777" w:rsidR="00F82CCE" w:rsidRPr="00BF2E87" w:rsidRDefault="00F82CCE" w:rsidP="00005121">
      <w:pPr>
        <w:jc w:val="both"/>
        <w:rPr>
          <w:i/>
        </w:rPr>
      </w:pPr>
      <w:r w:rsidRPr="00BF2E87">
        <w:rPr>
          <w:i/>
        </w:rPr>
        <w:t xml:space="preserve">1. Me kërkesë me shkrim të çdo pale të interesuar, Ministria duhet të mbajë një seancë shqyrtuese në të cilën të gjitha palët e interesuara mund të paraqesin informacione dhe argumente. Seanca do të mbahet më së voni gjashtëdhjetë (60) ditë para datës së propozuar për vendimin përfundimtar. </w:t>
      </w:r>
    </w:p>
    <w:p w14:paraId="5F496C95" w14:textId="77777777" w:rsidR="00F82CCE" w:rsidRPr="00BF2E87" w:rsidRDefault="00F82CCE" w:rsidP="00005121">
      <w:pPr>
        <w:jc w:val="both"/>
        <w:rPr>
          <w:i/>
        </w:rPr>
      </w:pPr>
      <w:r w:rsidRPr="00BF2E87">
        <w:rPr>
          <w:i/>
        </w:rPr>
        <w:t xml:space="preserve">2. Sipas kërkesës, Ministria duhet tu krijojë palëve të interesuara, mundësinë për tu takuar, me qëllim që të shprehen pikëpamjet e kundërta dhe të prezantohen argumentet e kundërta. </w:t>
      </w:r>
    </w:p>
    <w:p w14:paraId="62D9C044" w14:textId="1ED77236" w:rsidR="00F82CCE" w:rsidRPr="00BF2E87" w:rsidRDefault="00F82CCE" w:rsidP="00005121">
      <w:pPr>
        <w:jc w:val="both"/>
        <w:rPr>
          <w:i/>
        </w:rPr>
      </w:pPr>
      <w:r w:rsidRPr="00BF2E87">
        <w:rPr>
          <w:i/>
        </w:rPr>
        <w:t>3. Palët e interesuara që duan të përfshihen në seancën shqyrtuese, duhet ta informojnë Ministrinë për emrat e përfaqësuesve dhe dëshmitarëve që do të paraqiten në seancë, shtatë (7) ditë para datës së mbajtjes të seancës.</w:t>
      </w:r>
    </w:p>
    <w:p w14:paraId="6298BF68" w14:textId="77777777" w:rsidR="00676935" w:rsidRDefault="003B7382" w:rsidP="00005121">
      <w:pPr>
        <w:jc w:val="both"/>
      </w:pPr>
      <w:r>
        <w:t xml:space="preserve">Neni 36, Zbulimi i informatave: </w:t>
      </w:r>
    </w:p>
    <w:p w14:paraId="55C3B815" w14:textId="77777777" w:rsidR="00676935" w:rsidRPr="00BF2E87" w:rsidRDefault="00676935" w:rsidP="00005121">
      <w:pPr>
        <w:jc w:val="both"/>
        <w:rPr>
          <w:i/>
        </w:rPr>
      </w:pPr>
      <w:r w:rsidRPr="00BF2E87">
        <w:rPr>
          <w:i/>
        </w:rPr>
        <w:t xml:space="preserve">1. Palët e interesuara mund të kërkojnë zbulim të informacioneve të rëndësishme dhe fakteve thelbësore dhe detajet të konsiderueshme themelore dhe mbi bazën e të cilave janë vendosur masat e përkohshme. Kërkesa duhet t’i drejtohet Ministrisë me shkrim menjëherë pas paraqitjes së detyrimeve të përkohshme dhe zbulimi duhet të bëhet me shkrim sa më shpejt të jetë e mundur pas kësaj. </w:t>
      </w:r>
    </w:p>
    <w:p w14:paraId="6DA4A83E" w14:textId="77777777" w:rsidR="00676935" w:rsidRPr="00BF2E87" w:rsidRDefault="00676935" w:rsidP="00005121">
      <w:pPr>
        <w:jc w:val="both"/>
        <w:rPr>
          <w:i/>
        </w:rPr>
      </w:pPr>
      <w:r w:rsidRPr="00BF2E87">
        <w:rPr>
          <w:i/>
        </w:rPr>
        <w:t xml:space="preserve">2. Palët e interesuara mund të kërkojnë një zbulim përfundimtar të informatave të rëndësishme, të fakteve themelore dhe detajeve dhe të vlerësimeve në bazë të cilave ka për qëllim të vendosë masat përfundimtare ose ndërprerjen e procedimit. Kërkesa duhet t‘i drejtohet Ministrisë me shkrim dhe duhet të pranohet jo më vonë se një muaj pas vendosjes së masave të përkohshme. Në rastet kur masa e përkohshme nuk është zbatuar, palët e interesuara do të kenë mundësinë për të kërkuar zbulimin përfundimtar brenda afateve kohore të përcaktuara nga Ministria. </w:t>
      </w:r>
    </w:p>
    <w:p w14:paraId="3D45F57F" w14:textId="77777777" w:rsidR="00676935" w:rsidRPr="00BF2E87" w:rsidRDefault="00676935" w:rsidP="00005121">
      <w:pPr>
        <w:jc w:val="both"/>
        <w:rPr>
          <w:i/>
        </w:rPr>
      </w:pPr>
      <w:r w:rsidRPr="00BF2E87">
        <w:rPr>
          <w:i/>
        </w:rPr>
        <w:t xml:space="preserve">3. Zbulimi përfundimtar duhet të bëhet me shkrim sa më shpejt që të jetë e mundur, dhe të paktën një muaj para se të merret ndonjë vendim përfundimtar. </w:t>
      </w:r>
    </w:p>
    <w:p w14:paraId="3CCD9012" w14:textId="77777777" w:rsidR="00676935" w:rsidRPr="00BF2E87" w:rsidRDefault="00676935" w:rsidP="00005121">
      <w:pPr>
        <w:jc w:val="both"/>
        <w:rPr>
          <w:i/>
        </w:rPr>
      </w:pPr>
      <w:r w:rsidRPr="00BF2E87">
        <w:rPr>
          <w:i/>
        </w:rPr>
        <w:t xml:space="preserve">4. Paraqitjet e bëra pas zbulimit përfundimtar do të merren parasysh vetëm nëse janë pranuar nga Ministria brenda një periudhe kohore të përcaktuar nga Ministria, e cila duhet të jetë të paktën dy (2) javë. </w:t>
      </w:r>
    </w:p>
    <w:p w14:paraId="773332F3" w14:textId="77777777" w:rsidR="00676935" w:rsidRPr="00BF2E87" w:rsidRDefault="00676935" w:rsidP="00005121">
      <w:pPr>
        <w:jc w:val="both"/>
        <w:rPr>
          <w:i/>
        </w:rPr>
      </w:pPr>
      <w:r w:rsidRPr="00BF2E87">
        <w:rPr>
          <w:i/>
        </w:rPr>
        <w:lastRenderedPageBreak/>
        <w:t xml:space="preserve">5. Pasi që Ministria i përfundon hetimet, pas konsultimit me Komisionin, lëshon një vendim përfundimtar, i cili duhet të bëhet publik duke përfshirë arsyet e marrjes se ati vendimi, dhe duke pasur parasysh mbrojtjen e të dhënave </w:t>
      </w:r>
      <w:proofErr w:type="spellStart"/>
      <w:r w:rsidRPr="00BF2E87">
        <w:rPr>
          <w:i/>
        </w:rPr>
        <w:t>konfidenciale</w:t>
      </w:r>
      <w:proofErr w:type="spellEnd"/>
      <w:r w:rsidRPr="00BF2E87">
        <w:rPr>
          <w:i/>
        </w:rPr>
        <w:t xml:space="preserve">. </w:t>
      </w:r>
    </w:p>
    <w:p w14:paraId="5D7F2873" w14:textId="02369AB4" w:rsidR="00676935" w:rsidRPr="00BF2E87" w:rsidRDefault="00676935" w:rsidP="00005121">
      <w:pPr>
        <w:jc w:val="both"/>
        <w:rPr>
          <w:i/>
        </w:rPr>
      </w:pPr>
      <w:r w:rsidRPr="00BF2E87">
        <w:rPr>
          <w:i/>
        </w:rPr>
        <w:t xml:space="preserve">6. Vendimi përfundimtar publikohet në Gazetën Zyrtare. Vendimi gjithashtu </w:t>
      </w:r>
      <w:proofErr w:type="spellStart"/>
      <w:r w:rsidRPr="00BF2E87">
        <w:rPr>
          <w:i/>
        </w:rPr>
        <w:t>i’u</w:t>
      </w:r>
      <w:proofErr w:type="spellEnd"/>
      <w:r w:rsidRPr="00BF2E87">
        <w:rPr>
          <w:i/>
        </w:rPr>
        <w:t xml:space="preserve"> dërgohet palëve të interesuara</w:t>
      </w:r>
    </w:p>
    <w:p w14:paraId="3DF86455" w14:textId="70AB967B" w:rsidR="00555BC4" w:rsidRDefault="003B7382" w:rsidP="00005121">
      <w:pPr>
        <w:jc w:val="both"/>
      </w:pPr>
      <w:r>
        <w:t>Neni 37 Verifikimet</w:t>
      </w:r>
    </w:p>
    <w:p w14:paraId="6524F9A7" w14:textId="11E05AC5" w:rsidR="00555BC4" w:rsidRPr="000F76D8" w:rsidRDefault="00555BC4" w:rsidP="00005121">
      <w:pPr>
        <w:jc w:val="both"/>
        <w:rPr>
          <w:i/>
        </w:rPr>
      </w:pPr>
      <w:r w:rsidRPr="000F76D8">
        <w:rPr>
          <w:i/>
        </w:rPr>
        <w:t xml:space="preserve">1. Ministria, kur e gjykon të arsyeshme mund të ndërmarrë veprime të kontrollit, inspektime dhe verifikime të </w:t>
      </w:r>
      <w:proofErr w:type="spellStart"/>
      <w:r w:rsidRPr="000F76D8">
        <w:rPr>
          <w:i/>
        </w:rPr>
        <w:t>të</w:t>
      </w:r>
      <w:proofErr w:type="spellEnd"/>
      <w:r w:rsidRPr="000F76D8">
        <w:rPr>
          <w:i/>
        </w:rPr>
        <w:t xml:space="preserve"> dhënave nga të gjitha palët e interesuara, që kanë të bëjnë me interesat e </w:t>
      </w:r>
      <w:proofErr w:type="spellStart"/>
      <w:r w:rsidRPr="000F76D8">
        <w:rPr>
          <w:i/>
        </w:rPr>
        <w:t>dampingut</w:t>
      </w:r>
      <w:proofErr w:type="spellEnd"/>
      <w:r w:rsidRPr="000F76D8">
        <w:rPr>
          <w:i/>
        </w:rPr>
        <w:t xml:space="preserve">, subvencioneve, dëmeve dhe interesave të Kosovës. Gjithashtu mund të kryejë vizita verifikuese për të shqyrtuar të dhënat dhe për të verifikuar të dhënat dhe informacionet e dhëna. </w:t>
      </w:r>
    </w:p>
    <w:p w14:paraId="2743FE86" w14:textId="77777777" w:rsidR="00555BC4" w:rsidRPr="000F76D8" w:rsidRDefault="00555BC4" w:rsidP="00005121">
      <w:pPr>
        <w:jc w:val="both"/>
        <w:rPr>
          <w:i/>
        </w:rPr>
      </w:pPr>
      <w:r w:rsidRPr="000F76D8">
        <w:rPr>
          <w:i/>
        </w:rPr>
        <w:t xml:space="preserve">2. Me qëllim të verifikimit të informacioneve të mbledhura dhe për të marrë informacione ato shtesë, Ministria, nëse e gjykon të nevojshme, mund të kryejë hetime edhe në vende të tjera, me kusht që ndërmarrjet në fjalë të japin pëlqimin e tyre dhe Qeveritë e vendeve në fjalë të jenë të njoftuara zyrtarisht dhe të mos ngrenë asnjë kundërshtim. Autoritetet e vendit eksportues duhet të njoftohet për emrat dhe adresat e ndërmarrjeve që do të vizitohen dhe datat e vizitave. </w:t>
      </w:r>
    </w:p>
    <w:p w14:paraId="048A99F1" w14:textId="77777777" w:rsidR="00555BC4" w:rsidRPr="000F76D8" w:rsidRDefault="00555BC4" w:rsidP="00005121">
      <w:pPr>
        <w:jc w:val="both"/>
        <w:rPr>
          <w:i/>
        </w:rPr>
      </w:pPr>
      <w:r w:rsidRPr="000F76D8">
        <w:rPr>
          <w:i/>
        </w:rPr>
        <w:t>3. Ministria e përgatit raportin për verifikimin e të dhënave për çdo kompani. Ky raport do të jetë plotësisht në dispozicion të kompanisë, ndërsa një version jo-</w:t>
      </w:r>
      <w:proofErr w:type="spellStart"/>
      <w:r w:rsidRPr="000F76D8">
        <w:rPr>
          <w:i/>
        </w:rPr>
        <w:t>konfidencial</w:t>
      </w:r>
      <w:proofErr w:type="spellEnd"/>
      <w:r w:rsidRPr="000F76D8">
        <w:rPr>
          <w:i/>
        </w:rPr>
        <w:t xml:space="preserve"> do të depozitohet në dosjen publike.</w:t>
      </w:r>
    </w:p>
    <w:p w14:paraId="642556F0" w14:textId="54407875" w:rsidR="00555BC4" w:rsidRPr="000F76D8" w:rsidRDefault="00555BC4" w:rsidP="00005121">
      <w:pPr>
        <w:jc w:val="both"/>
        <w:rPr>
          <w:i/>
        </w:rPr>
      </w:pPr>
      <w:r w:rsidRPr="000F76D8">
        <w:rPr>
          <w:i/>
        </w:rPr>
        <w:t xml:space="preserve"> 4. Kompanitë e interesuara do të informohen në lidhje me natyrën e informacionit dhe të </w:t>
      </w:r>
      <w:proofErr w:type="spellStart"/>
      <w:r w:rsidRPr="000F76D8">
        <w:rPr>
          <w:i/>
        </w:rPr>
        <w:t>të</w:t>
      </w:r>
      <w:proofErr w:type="spellEnd"/>
      <w:r w:rsidRPr="000F76D8">
        <w:rPr>
          <w:i/>
        </w:rPr>
        <w:t xml:space="preserve"> dhënave të cilat do të verifikohen gjatë vizitës. Kërkesat e tjera për informata dhe verifikim të tyre mund të bëhen gjatë vizitave.</w:t>
      </w:r>
    </w:p>
    <w:p w14:paraId="751CDC58" w14:textId="77777777" w:rsidR="00735F18" w:rsidRDefault="003B7382" w:rsidP="00005121">
      <w:pPr>
        <w:jc w:val="both"/>
      </w:pPr>
      <w:r>
        <w:t xml:space="preserve">Neni 38, </w:t>
      </w:r>
      <w:proofErr w:type="spellStart"/>
      <w:r>
        <w:t>Konfidencialiteti</w:t>
      </w:r>
      <w:proofErr w:type="spellEnd"/>
    </w:p>
    <w:p w14:paraId="29DE209C" w14:textId="77777777" w:rsidR="00735F18" w:rsidRPr="000F76D8" w:rsidRDefault="00735F18" w:rsidP="00005121">
      <w:pPr>
        <w:jc w:val="both"/>
        <w:rPr>
          <w:i/>
        </w:rPr>
      </w:pPr>
      <w:r w:rsidRPr="000F76D8">
        <w:rPr>
          <w:i/>
        </w:rPr>
        <w:t xml:space="preserve">1. Informacioni dhe të dhënat e marra nga palët e interesuara duhet të përdoren vetëm për arsyet për të cilat janë kërkuar. </w:t>
      </w:r>
    </w:p>
    <w:p w14:paraId="1220E578" w14:textId="77777777" w:rsidR="00735F18" w:rsidRPr="000F76D8" w:rsidRDefault="00735F18" w:rsidP="00005121">
      <w:pPr>
        <w:jc w:val="both"/>
        <w:rPr>
          <w:i/>
        </w:rPr>
      </w:pPr>
      <w:r w:rsidRPr="000F76D8">
        <w:rPr>
          <w:i/>
        </w:rPr>
        <w:t xml:space="preserve">2. Informacioni </w:t>
      </w:r>
      <w:proofErr w:type="spellStart"/>
      <w:r w:rsidRPr="000F76D8">
        <w:rPr>
          <w:i/>
        </w:rPr>
        <w:t>konfidencial</w:t>
      </w:r>
      <w:proofErr w:type="spellEnd"/>
      <w:r w:rsidRPr="000F76D8">
        <w:rPr>
          <w:i/>
        </w:rPr>
        <w:t xml:space="preserve"> nuk do të bëhet i njohur për publikun ose ndonjë palë tjetër të interesuar pa lejen me shkrim nga burimi i këtij informacioni </w:t>
      </w:r>
      <w:proofErr w:type="spellStart"/>
      <w:r w:rsidRPr="000F76D8">
        <w:rPr>
          <w:i/>
        </w:rPr>
        <w:t>konfidencial</w:t>
      </w:r>
      <w:proofErr w:type="spellEnd"/>
      <w:r w:rsidRPr="000F76D8">
        <w:rPr>
          <w:i/>
        </w:rPr>
        <w:t xml:space="preserve">. </w:t>
      </w:r>
    </w:p>
    <w:p w14:paraId="618FD5AB" w14:textId="77777777" w:rsidR="00735F18" w:rsidRPr="000F76D8" w:rsidRDefault="00735F18" w:rsidP="00005121">
      <w:pPr>
        <w:jc w:val="both"/>
        <w:rPr>
          <w:i/>
        </w:rPr>
      </w:pPr>
      <w:r w:rsidRPr="000F76D8">
        <w:rPr>
          <w:i/>
        </w:rPr>
        <w:t xml:space="preserve">3. Informacioni dhe të dhënat duhet të konsiderohen </w:t>
      </w:r>
      <w:proofErr w:type="spellStart"/>
      <w:r w:rsidRPr="000F76D8">
        <w:rPr>
          <w:i/>
        </w:rPr>
        <w:t>konfidenciale</w:t>
      </w:r>
      <w:proofErr w:type="spellEnd"/>
      <w:r w:rsidRPr="000F76D8">
        <w:rPr>
          <w:i/>
        </w:rPr>
        <w:t xml:space="preserve"> kur: </w:t>
      </w:r>
    </w:p>
    <w:p w14:paraId="5BEA554C" w14:textId="77777777" w:rsidR="00735F18" w:rsidRPr="000F76D8" w:rsidRDefault="00735F18" w:rsidP="0082598E">
      <w:pPr>
        <w:ind w:left="720"/>
        <w:jc w:val="both"/>
        <w:rPr>
          <w:i/>
        </w:rPr>
      </w:pPr>
      <w:r w:rsidRPr="000F76D8">
        <w:rPr>
          <w:i/>
        </w:rPr>
        <w:t xml:space="preserve">3.1. nga natyra e tyre, shpalosja e informatave apo të dhënave të tilla do të ketë një ndikim të konsiderueshëm negativ apo efekt mbi personin i cili ka dorëzuar informacionin ose për personin nga i cili është marrë informacioni; dhe, </w:t>
      </w:r>
    </w:p>
    <w:p w14:paraId="261EEC44" w14:textId="7C735863" w:rsidR="00735F18" w:rsidRPr="000F76D8" w:rsidRDefault="00735F18" w:rsidP="0082598E">
      <w:pPr>
        <w:ind w:left="720"/>
        <w:jc w:val="both"/>
        <w:rPr>
          <w:i/>
        </w:rPr>
      </w:pPr>
      <w:r w:rsidRPr="000F76D8">
        <w:rPr>
          <w:i/>
        </w:rPr>
        <w:t xml:space="preserve">3.2. informacioni është marrë mbi bazën e </w:t>
      </w:r>
      <w:proofErr w:type="spellStart"/>
      <w:r w:rsidRPr="000F76D8">
        <w:rPr>
          <w:i/>
        </w:rPr>
        <w:t>konfidencialitetit</w:t>
      </w:r>
      <w:proofErr w:type="spellEnd"/>
      <w:r w:rsidRPr="000F76D8">
        <w:rPr>
          <w:i/>
        </w:rPr>
        <w:t xml:space="preserve"> të palëve dhe nëse për këtë kërkesë </w:t>
      </w:r>
      <w:proofErr w:type="spellStart"/>
      <w:r w:rsidRPr="000F76D8">
        <w:rPr>
          <w:i/>
        </w:rPr>
        <w:t>konfidencialiteti</w:t>
      </w:r>
      <w:proofErr w:type="spellEnd"/>
      <w:r w:rsidRPr="000F76D8">
        <w:rPr>
          <w:i/>
        </w:rPr>
        <w:t xml:space="preserve"> janë treguar arsye të forta. </w:t>
      </w:r>
    </w:p>
    <w:p w14:paraId="1F2738F9" w14:textId="77777777" w:rsidR="00735F18" w:rsidRPr="000F76D8" w:rsidRDefault="00735F18" w:rsidP="0082598E">
      <w:pPr>
        <w:jc w:val="both"/>
        <w:rPr>
          <w:i/>
        </w:rPr>
      </w:pPr>
      <w:r w:rsidRPr="000F76D8">
        <w:rPr>
          <w:i/>
        </w:rPr>
        <w:t xml:space="preserve">4. Palët e interesuara që kanë ofruar informacion </w:t>
      </w:r>
      <w:proofErr w:type="spellStart"/>
      <w:r w:rsidRPr="000F76D8">
        <w:rPr>
          <w:i/>
        </w:rPr>
        <w:t>konfidencial</w:t>
      </w:r>
      <w:proofErr w:type="spellEnd"/>
      <w:r w:rsidRPr="000F76D8">
        <w:rPr>
          <w:i/>
        </w:rPr>
        <w:t xml:space="preserve"> duhet gjithashtu të paraqesin një përmbledhje </w:t>
      </w:r>
      <w:proofErr w:type="spellStart"/>
      <w:r w:rsidRPr="000F76D8">
        <w:rPr>
          <w:i/>
        </w:rPr>
        <w:t>jokonfidenciale</w:t>
      </w:r>
      <w:proofErr w:type="spellEnd"/>
      <w:r w:rsidRPr="000F76D8">
        <w:rPr>
          <w:i/>
        </w:rPr>
        <w:t>. Në raste të veçanta, palët mund të tregojnë me shkrim arsyet se pse një përmbledhje e tillë jo-</w:t>
      </w:r>
      <w:proofErr w:type="spellStart"/>
      <w:r w:rsidRPr="000F76D8">
        <w:rPr>
          <w:i/>
        </w:rPr>
        <w:t>konfidenciale</w:t>
      </w:r>
      <w:proofErr w:type="spellEnd"/>
      <w:r w:rsidRPr="000F76D8">
        <w:rPr>
          <w:i/>
        </w:rPr>
        <w:t xml:space="preserve"> nuk është e mundur. </w:t>
      </w:r>
    </w:p>
    <w:p w14:paraId="3C24DD3C" w14:textId="1E29AC62" w:rsidR="00735F18" w:rsidRPr="0082598E" w:rsidRDefault="00735F18" w:rsidP="0082598E">
      <w:pPr>
        <w:jc w:val="both"/>
        <w:rPr>
          <w:i/>
        </w:rPr>
      </w:pPr>
      <w:r w:rsidRPr="000F76D8">
        <w:rPr>
          <w:i/>
        </w:rPr>
        <w:lastRenderedPageBreak/>
        <w:t xml:space="preserve">5. Informacioni dhe të dhënat nuk duhet të konsiderohen </w:t>
      </w:r>
      <w:proofErr w:type="spellStart"/>
      <w:r w:rsidRPr="000F76D8">
        <w:rPr>
          <w:i/>
        </w:rPr>
        <w:t>konfidenciale</w:t>
      </w:r>
      <w:proofErr w:type="spellEnd"/>
      <w:r w:rsidRPr="000F76D8">
        <w:rPr>
          <w:i/>
        </w:rPr>
        <w:t xml:space="preserve"> kur kërkesa për </w:t>
      </w:r>
      <w:proofErr w:type="spellStart"/>
      <w:r w:rsidRPr="000F76D8">
        <w:rPr>
          <w:i/>
        </w:rPr>
        <w:t>konfidencialitet</w:t>
      </w:r>
      <w:proofErr w:type="spellEnd"/>
      <w:r w:rsidRPr="000F76D8">
        <w:rPr>
          <w:i/>
        </w:rPr>
        <w:t xml:space="preserve"> nuk është e justifikuar. Në një rast të tillë dhe kur ofruesi nuk e miraton publikimin e informacionit dhe të dhënave në çdo formë, informacioni mund të shpërfillet</w:t>
      </w:r>
      <w:r>
        <w:rPr>
          <w:i/>
        </w:rPr>
        <w:t>.</w:t>
      </w:r>
    </w:p>
    <w:p w14:paraId="60FC208A" w14:textId="65209ED0" w:rsidR="00FB6BF8" w:rsidRDefault="003B7382" w:rsidP="0082598E">
      <w:pPr>
        <w:jc w:val="both"/>
      </w:pPr>
      <w:r>
        <w:t>Neni 42</w:t>
      </w:r>
      <w:r w:rsidR="00FB6BF8">
        <w:t xml:space="preserve"> Njoftimi publik për përfundimin e hetimeve pa vendosje të detyrimeve</w:t>
      </w:r>
    </w:p>
    <w:p w14:paraId="1E3DDC3F" w14:textId="1CB34F9B" w:rsidR="00FB6BF8" w:rsidRPr="0082598E" w:rsidRDefault="00FB6BF8" w:rsidP="0082598E">
      <w:pPr>
        <w:jc w:val="both"/>
        <w:rPr>
          <w:i/>
        </w:rPr>
      </w:pPr>
      <w:r w:rsidRPr="0082598E">
        <w:rPr>
          <w:i/>
        </w:rPr>
        <w:t xml:space="preserve">Ministria, pas konsultimit me Komisionin, është e detyruar të lëshojë një njoftim publik për përfundimin e hetimit pa vendosjen e detyrimeve, duke marrë parasysh arsyet që çuan në këtë vendim dhe mbrojtjen e informacionit </w:t>
      </w:r>
      <w:proofErr w:type="spellStart"/>
      <w:r w:rsidRPr="0082598E">
        <w:rPr>
          <w:i/>
        </w:rPr>
        <w:t>konfidencial</w:t>
      </w:r>
      <w:proofErr w:type="spellEnd"/>
      <w:r w:rsidRPr="0082598E">
        <w:rPr>
          <w:i/>
        </w:rPr>
        <w:t>.</w:t>
      </w:r>
    </w:p>
    <w:p w14:paraId="3C221826" w14:textId="445C516A" w:rsidR="006038E3" w:rsidRDefault="003B7382" w:rsidP="0082598E">
      <w:pPr>
        <w:jc w:val="both"/>
      </w:pPr>
      <w:r>
        <w:t>Neni 46 Kohëzgjatja</w:t>
      </w:r>
    </w:p>
    <w:p w14:paraId="31799027" w14:textId="77777777" w:rsidR="004B1CC9" w:rsidRPr="003D019A" w:rsidRDefault="004B1CC9" w:rsidP="0082598E">
      <w:pPr>
        <w:jc w:val="both"/>
        <w:rPr>
          <w:i/>
        </w:rPr>
      </w:pPr>
      <w:r w:rsidRPr="003D019A">
        <w:rPr>
          <w:i/>
        </w:rPr>
        <w:t xml:space="preserve">1. Detyrimet </w:t>
      </w:r>
      <w:proofErr w:type="spellStart"/>
      <w:r w:rsidRPr="003D019A">
        <w:rPr>
          <w:i/>
        </w:rPr>
        <w:t>Anti-damping</w:t>
      </w:r>
      <w:proofErr w:type="spellEnd"/>
      <w:r w:rsidRPr="003D019A">
        <w:rPr>
          <w:i/>
        </w:rPr>
        <w:t xml:space="preserve"> dhe </w:t>
      </w:r>
      <w:proofErr w:type="spellStart"/>
      <w:r w:rsidRPr="003D019A">
        <w:rPr>
          <w:i/>
        </w:rPr>
        <w:t>kundërbalancuese</w:t>
      </w:r>
      <w:proofErr w:type="spellEnd"/>
      <w:r w:rsidRPr="003D019A">
        <w:rPr>
          <w:i/>
        </w:rPr>
        <w:t xml:space="preserve"> mbeten në fuqi vetëm për sa kohë dhe në atë masë që është e nevojshme për të neutralizuar dhe luftuar </w:t>
      </w:r>
      <w:proofErr w:type="spellStart"/>
      <w:r w:rsidRPr="003D019A">
        <w:rPr>
          <w:i/>
        </w:rPr>
        <w:t>dampingun</w:t>
      </w:r>
      <w:proofErr w:type="spellEnd"/>
      <w:r w:rsidRPr="003D019A">
        <w:rPr>
          <w:i/>
        </w:rPr>
        <w:t xml:space="preserve"> ose subvencionin që ka shkaktuar dëm material ndaj industrisë vendore të Kosovës dhe përderisa ato janë në interes të Kosovës. </w:t>
      </w:r>
    </w:p>
    <w:p w14:paraId="14FFF586" w14:textId="415421CC" w:rsidR="004B1CC9" w:rsidRPr="003D019A" w:rsidRDefault="004B1CC9" w:rsidP="0082598E">
      <w:pPr>
        <w:jc w:val="both"/>
        <w:rPr>
          <w:i/>
        </w:rPr>
      </w:pPr>
      <w:r w:rsidRPr="003D019A">
        <w:rPr>
          <w:i/>
        </w:rPr>
        <w:t xml:space="preserve">2. Çdo detyrim përfundimtar </w:t>
      </w:r>
      <w:proofErr w:type="spellStart"/>
      <w:r w:rsidRPr="003D019A">
        <w:rPr>
          <w:i/>
        </w:rPr>
        <w:t>anti-damping</w:t>
      </w:r>
      <w:proofErr w:type="spellEnd"/>
      <w:r w:rsidRPr="003D019A">
        <w:rPr>
          <w:i/>
        </w:rPr>
        <w:t xml:space="preserve"> apo </w:t>
      </w:r>
      <w:proofErr w:type="spellStart"/>
      <w:r w:rsidRPr="003D019A">
        <w:rPr>
          <w:i/>
        </w:rPr>
        <w:t>kundërbalancues</w:t>
      </w:r>
      <w:proofErr w:type="spellEnd"/>
      <w:r w:rsidRPr="003D019A">
        <w:rPr>
          <w:i/>
        </w:rPr>
        <w:t xml:space="preserve"> duhet të skadojë pas një maksimumi prej pesë (5) vitesh nga vendosja e tij apo pesë (5) vjet pas datës së shqyrtimit të fundit të plotë në lidhje me </w:t>
      </w:r>
      <w:proofErr w:type="spellStart"/>
      <w:r w:rsidRPr="003D019A">
        <w:rPr>
          <w:i/>
        </w:rPr>
        <w:t>dampingun</w:t>
      </w:r>
      <w:proofErr w:type="spellEnd"/>
      <w:r w:rsidRPr="003D019A">
        <w:rPr>
          <w:i/>
        </w:rPr>
        <w:t xml:space="preserve">, subvencionimin ose dëmin dhe interesat e Kosovës, përveç në rastet kur shqyrtimi (shqyrtimit i skadimi) </w:t>
      </w:r>
      <w:proofErr w:type="spellStart"/>
      <w:r w:rsidRPr="003D019A">
        <w:rPr>
          <w:i/>
        </w:rPr>
        <w:t>konkludon</w:t>
      </w:r>
      <w:proofErr w:type="spellEnd"/>
      <w:r w:rsidRPr="003D019A">
        <w:rPr>
          <w:i/>
        </w:rPr>
        <w:t xml:space="preserve"> se skadimi ose ndërprerja e këtyre detyrimeve mund të çojë në vazhdimin apo rishfaqjen e </w:t>
      </w:r>
      <w:proofErr w:type="spellStart"/>
      <w:r w:rsidRPr="003D019A">
        <w:rPr>
          <w:i/>
        </w:rPr>
        <w:t>dampingut</w:t>
      </w:r>
      <w:proofErr w:type="spellEnd"/>
      <w:r w:rsidRPr="003D019A">
        <w:rPr>
          <w:i/>
        </w:rPr>
        <w:t>, subvencioneve ose dëmit.</w:t>
      </w:r>
    </w:p>
    <w:p w14:paraId="0E25F1FB" w14:textId="4481937E" w:rsidR="00831C42" w:rsidRDefault="003B7382" w:rsidP="0082598E">
      <w:pPr>
        <w:jc w:val="both"/>
      </w:pPr>
      <w:r>
        <w:t>Neni 49 Shqyrtimi i kërkesës të eksportuesve/importuesve të ri</w:t>
      </w:r>
    </w:p>
    <w:p w14:paraId="532018E2" w14:textId="77777777" w:rsidR="00831C42" w:rsidRDefault="00831C42" w:rsidP="0082598E">
      <w:pPr>
        <w:jc w:val="both"/>
      </w:pPr>
      <w:r>
        <w:t xml:space="preserve">1. Një eksportues, produktet e të cilit janë objekt i detyrimeve përfundimtare </w:t>
      </w:r>
      <w:proofErr w:type="spellStart"/>
      <w:r>
        <w:t>antidamping</w:t>
      </w:r>
      <w:proofErr w:type="spellEnd"/>
      <w:r>
        <w:t xml:space="preserve"> ose </w:t>
      </w:r>
      <w:proofErr w:type="spellStart"/>
      <w:r>
        <w:t>kundërbalancuese</w:t>
      </w:r>
      <w:proofErr w:type="spellEnd"/>
      <w:r>
        <w:t xml:space="preserve"> dhe i cili nuk është hetuar individualisht gjatë procedurës hetimore, jo për arsye të refuzimit për të bashkëpunuar, mund të kërkojë shqyrtim në mënyrë që t’i bëhet një shqyrtim individual. Kërkesa duhet t’i drejtohet Ministrisë, të jetë me shkrim dhe duhet të dokumentohet plotësisht sa i përket vlerës normale ose shumës së subvencionit </w:t>
      </w:r>
      <w:proofErr w:type="spellStart"/>
      <w:r>
        <w:t>kundërbalancues</w:t>
      </w:r>
      <w:proofErr w:type="spellEnd"/>
      <w:r>
        <w:t xml:space="preserve"> si dhe çmimeve aktuale apo të ardhshme të eksportit të tij. Industrisë së brendshme të Kosovës duhet t’i jepet mundësia për të dhënë komentet e saj në lidhje me këtë kërkesë. </w:t>
      </w:r>
    </w:p>
    <w:p w14:paraId="60554177" w14:textId="1167793C" w:rsidR="00831C42" w:rsidRDefault="00831C42" w:rsidP="0082598E">
      <w:pPr>
        <w:jc w:val="both"/>
      </w:pPr>
      <w:r>
        <w:t>2. Për procedurat e hetimit sipas paragrafit 1 të këtij neni do të zbatohen dispozitat e këtij ligji.</w:t>
      </w:r>
    </w:p>
    <w:p w14:paraId="6205CA44" w14:textId="77777777" w:rsidR="0071222F" w:rsidRPr="00937662" w:rsidRDefault="0071222F" w:rsidP="0071222F">
      <w:pPr>
        <w:jc w:val="both"/>
      </w:pPr>
    </w:p>
    <w:p w14:paraId="5C692E52" w14:textId="1A00A989" w:rsidR="00F71475" w:rsidRDefault="00F71475" w:rsidP="004B0CDC">
      <w:pPr>
        <w:rPr>
          <w:rFonts w:eastAsiaTheme="minorHAnsi"/>
          <w:b/>
          <w:bCs/>
        </w:rPr>
      </w:pPr>
      <w:bookmarkStart w:id="5" w:name="_Toc69198218"/>
    </w:p>
    <w:p w14:paraId="2674BC7F" w14:textId="022C4B69" w:rsidR="00254615" w:rsidRDefault="00254615" w:rsidP="004B0CDC">
      <w:pPr>
        <w:rPr>
          <w:rFonts w:eastAsiaTheme="minorHAnsi"/>
          <w:b/>
          <w:bCs/>
        </w:rPr>
      </w:pPr>
    </w:p>
    <w:p w14:paraId="7855B0F1" w14:textId="1E8377C4" w:rsidR="00254615" w:rsidRDefault="00254615" w:rsidP="004B0CDC">
      <w:pPr>
        <w:rPr>
          <w:rFonts w:eastAsiaTheme="minorHAnsi"/>
          <w:b/>
          <w:bCs/>
        </w:rPr>
      </w:pPr>
    </w:p>
    <w:p w14:paraId="3496680E" w14:textId="3606721E" w:rsidR="00254615" w:rsidRDefault="00254615" w:rsidP="004B0CDC">
      <w:pPr>
        <w:rPr>
          <w:rFonts w:eastAsiaTheme="minorHAnsi"/>
          <w:b/>
          <w:bCs/>
        </w:rPr>
      </w:pPr>
    </w:p>
    <w:p w14:paraId="3054ADC2" w14:textId="0139A99A" w:rsidR="00254615" w:rsidRDefault="00254615" w:rsidP="004B0CDC">
      <w:pPr>
        <w:rPr>
          <w:rFonts w:eastAsiaTheme="minorHAnsi"/>
          <w:b/>
          <w:bCs/>
        </w:rPr>
      </w:pPr>
    </w:p>
    <w:p w14:paraId="1C2C39D6" w14:textId="39FF40E9" w:rsidR="00254615" w:rsidRDefault="00254615" w:rsidP="004B0CDC">
      <w:pPr>
        <w:rPr>
          <w:rFonts w:eastAsiaTheme="minorHAnsi"/>
          <w:b/>
          <w:bCs/>
        </w:rPr>
      </w:pPr>
    </w:p>
    <w:p w14:paraId="1069EBE9" w14:textId="77777777" w:rsidR="00254615" w:rsidRDefault="00254615" w:rsidP="004B0CDC">
      <w:pPr>
        <w:rPr>
          <w:rFonts w:eastAsiaTheme="minorHAnsi"/>
          <w:b/>
          <w:bCs/>
        </w:rPr>
      </w:pPr>
    </w:p>
    <w:p w14:paraId="132D7563" w14:textId="77777777" w:rsidR="0071222F" w:rsidRDefault="0071222F" w:rsidP="004B0CDC">
      <w:pPr>
        <w:rPr>
          <w:rFonts w:eastAsiaTheme="minorHAnsi"/>
          <w:b/>
          <w:bCs/>
        </w:rPr>
      </w:pPr>
    </w:p>
    <w:p w14:paraId="63E982E8" w14:textId="221E1727" w:rsidR="00A128E1" w:rsidRDefault="001F2FC9" w:rsidP="004B0CDC">
      <w:pPr>
        <w:rPr>
          <w:rFonts w:eastAsiaTheme="minorHAnsi"/>
          <w:b/>
          <w:bCs/>
        </w:rPr>
      </w:pPr>
      <w:r>
        <w:rPr>
          <w:rFonts w:eastAsiaTheme="minorHAnsi"/>
          <w:b/>
          <w:bCs/>
        </w:rPr>
        <w:lastRenderedPageBreak/>
        <w:t>Tabela 3</w:t>
      </w:r>
      <w:r w:rsidR="00A128E1" w:rsidRPr="00A128E1">
        <w:rPr>
          <w:rFonts w:eastAsiaTheme="minorHAnsi"/>
          <w:b/>
          <w:bCs/>
        </w:rPr>
        <w:t>: Dokumentet relevante të politikave, ligjet dhe Rregulloret e BE-së</w:t>
      </w:r>
    </w:p>
    <w:p w14:paraId="58470BCE" w14:textId="77777777" w:rsidR="00A128E1" w:rsidRPr="004B0CDC" w:rsidRDefault="00A128E1" w:rsidP="004B0CDC">
      <w:pPr>
        <w:rPr>
          <w:rFonts w:eastAsiaTheme="minorHAnsi"/>
          <w:b/>
          <w:bCs/>
        </w:rPr>
      </w:pPr>
    </w:p>
    <w:p w14:paraId="7CDFCE31" w14:textId="517914BB" w:rsidR="00D9018F" w:rsidRDefault="00F71475" w:rsidP="001F2FC9">
      <w:pPr>
        <w:pStyle w:val="Heading2"/>
        <w:numPr>
          <w:ilvl w:val="1"/>
          <w:numId w:val="2"/>
        </w:numPr>
      </w:pPr>
      <w:r w:rsidRPr="00F71475">
        <w:t xml:space="preserve">Korniza aktuale ligjore </w:t>
      </w:r>
    </w:p>
    <w:tbl>
      <w:tblPr>
        <w:tblpPr w:leftFromText="180" w:rightFromText="180" w:vertAnchor="text" w:horzAnchor="margin" w:tblpY="3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2923"/>
        <w:gridCol w:w="2160"/>
        <w:gridCol w:w="2880"/>
      </w:tblGrid>
      <w:tr w:rsidR="00A128E1" w:rsidRPr="00F71475" w14:paraId="26F191F8" w14:textId="77777777" w:rsidTr="00A128E1">
        <w:tc>
          <w:tcPr>
            <w:tcW w:w="1955" w:type="dxa"/>
            <w:shd w:val="clear" w:color="auto" w:fill="9CC2E5" w:themeFill="accent1" w:themeFillTint="99"/>
          </w:tcPr>
          <w:p w14:paraId="0F0850D4" w14:textId="77777777" w:rsidR="00A128E1" w:rsidRPr="00F71475" w:rsidRDefault="00A128E1" w:rsidP="00A128E1">
            <w:pPr>
              <w:pStyle w:val="Heading2"/>
            </w:pPr>
            <w:r w:rsidRPr="00F71475">
              <w:t>Dokument i politikave, ligji ose akti nënligjor</w:t>
            </w:r>
          </w:p>
        </w:tc>
        <w:tc>
          <w:tcPr>
            <w:tcW w:w="2923" w:type="dxa"/>
            <w:shd w:val="clear" w:color="auto" w:fill="9CC2E5" w:themeFill="accent1" w:themeFillTint="99"/>
          </w:tcPr>
          <w:p w14:paraId="4D117B27" w14:textId="77777777" w:rsidR="00A128E1" w:rsidRPr="00F71475" w:rsidRDefault="00A128E1" w:rsidP="00A128E1">
            <w:pPr>
              <w:pStyle w:val="Heading2"/>
            </w:pPr>
            <w:r w:rsidRPr="00F71475">
              <w:t xml:space="preserve">Lidhja me dokumentin </w:t>
            </w:r>
            <w:proofErr w:type="spellStart"/>
            <w:r w:rsidRPr="00F71475">
              <w:t>online</w:t>
            </w:r>
            <w:proofErr w:type="spellEnd"/>
            <w:r w:rsidRPr="00F71475">
              <w:t xml:space="preserve"> dhe me aktet ligjore në Gazetën Zyrtare</w:t>
            </w:r>
          </w:p>
        </w:tc>
        <w:tc>
          <w:tcPr>
            <w:tcW w:w="2160" w:type="dxa"/>
            <w:shd w:val="clear" w:color="auto" w:fill="9CC2E5" w:themeFill="accent1" w:themeFillTint="99"/>
          </w:tcPr>
          <w:p w14:paraId="32AE7277" w14:textId="77777777" w:rsidR="00A128E1" w:rsidRPr="00F71475" w:rsidRDefault="00A128E1" w:rsidP="00A128E1">
            <w:pPr>
              <w:pStyle w:val="Heading2"/>
            </w:pPr>
            <w:r w:rsidRPr="00F71475">
              <w:t>Institucionet shtetërore përgjegjëse për implementim</w:t>
            </w:r>
          </w:p>
        </w:tc>
        <w:tc>
          <w:tcPr>
            <w:tcW w:w="2880" w:type="dxa"/>
            <w:shd w:val="clear" w:color="auto" w:fill="9CC2E5" w:themeFill="accent1" w:themeFillTint="99"/>
          </w:tcPr>
          <w:p w14:paraId="696A1D43" w14:textId="77777777" w:rsidR="00A128E1" w:rsidRPr="00F71475" w:rsidRDefault="00A128E1" w:rsidP="00A128E1">
            <w:pPr>
              <w:pStyle w:val="Heading2"/>
            </w:pPr>
            <w:r w:rsidRPr="00F71475">
              <w:t>Roli dhe detyrat e institucionit(eve)</w:t>
            </w:r>
          </w:p>
        </w:tc>
      </w:tr>
      <w:tr w:rsidR="00A128E1" w:rsidRPr="00F71475" w14:paraId="76BE587F" w14:textId="77777777" w:rsidTr="00A128E1">
        <w:trPr>
          <w:trHeight w:val="1187"/>
        </w:trPr>
        <w:tc>
          <w:tcPr>
            <w:tcW w:w="1955" w:type="dxa"/>
          </w:tcPr>
          <w:p w14:paraId="1C79AFE3" w14:textId="77777777" w:rsidR="00A128E1" w:rsidRPr="00F71475" w:rsidRDefault="00A128E1" w:rsidP="00A128E1">
            <w:pPr>
              <w:pStyle w:val="Heading2"/>
            </w:pPr>
            <w:r w:rsidRPr="00F71475">
              <w:t xml:space="preserve">Ligji nr. 04/L-240 për Masat </w:t>
            </w:r>
            <w:proofErr w:type="spellStart"/>
            <w:r w:rsidRPr="00F71475">
              <w:t>Antidamping</w:t>
            </w:r>
            <w:proofErr w:type="spellEnd"/>
            <w:r w:rsidRPr="00F71475">
              <w:t xml:space="preserve"> dhe Masat Kundër balancuese</w:t>
            </w:r>
          </w:p>
        </w:tc>
        <w:tc>
          <w:tcPr>
            <w:tcW w:w="2923" w:type="dxa"/>
          </w:tcPr>
          <w:p w14:paraId="035D5450" w14:textId="77777777" w:rsidR="00A128E1" w:rsidRPr="00F71475" w:rsidRDefault="00AD12B9" w:rsidP="00A128E1">
            <w:pPr>
              <w:pStyle w:val="Heading2"/>
            </w:pPr>
            <w:hyperlink r:id="rId10" w:history="1">
              <w:r w:rsidR="00A128E1" w:rsidRPr="00F71475">
                <w:rPr>
                  <w:rStyle w:val="Hyperlink"/>
                </w:rPr>
                <w:t>https://gzk.rks-gov.net/ActDetail.aspx?ActID=9518</w:t>
              </w:r>
            </w:hyperlink>
          </w:p>
          <w:p w14:paraId="2E78210F" w14:textId="77777777" w:rsidR="00A128E1" w:rsidRPr="00F71475" w:rsidRDefault="00A128E1" w:rsidP="00A128E1">
            <w:pPr>
              <w:pStyle w:val="Heading2"/>
            </w:pPr>
          </w:p>
        </w:tc>
        <w:tc>
          <w:tcPr>
            <w:tcW w:w="2160" w:type="dxa"/>
          </w:tcPr>
          <w:p w14:paraId="5199056E" w14:textId="77777777" w:rsidR="00A128E1" w:rsidRPr="00F71475" w:rsidRDefault="00A128E1" w:rsidP="00A128E1">
            <w:pPr>
              <w:pStyle w:val="Heading2"/>
            </w:pPr>
            <w:r w:rsidRPr="00F71475">
              <w:t>MINT, Dogana, MF,ME</w:t>
            </w:r>
          </w:p>
        </w:tc>
        <w:tc>
          <w:tcPr>
            <w:tcW w:w="2880" w:type="dxa"/>
          </w:tcPr>
          <w:p w14:paraId="767223A6" w14:textId="77777777" w:rsidR="00A128E1" w:rsidRPr="004F1AED" w:rsidRDefault="00A128E1" w:rsidP="00A128E1">
            <w:pPr>
              <w:pStyle w:val="Heading2"/>
              <w:jc w:val="both"/>
              <w:rPr>
                <w:b w:val="0"/>
              </w:rPr>
            </w:pPr>
            <w:r>
              <w:t xml:space="preserve">Detyrat  e MINT: </w:t>
            </w:r>
            <w:r w:rsidRPr="004F1AED">
              <w:rPr>
                <w:b w:val="0"/>
              </w:rPr>
              <w:t xml:space="preserve">Koordinimi dhe monitorimi I aktiviteteve rreth hartimit të legjislacionit për masat mbrojtëse në importe dhe për masa </w:t>
            </w:r>
            <w:proofErr w:type="spellStart"/>
            <w:r w:rsidRPr="004F1AED">
              <w:rPr>
                <w:b w:val="0"/>
              </w:rPr>
              <w:t>antidumping</w:t>
            </w:r>
            <w:proofErr w:type="spellEnd"/>
            <w:r w:rsidRPr="004F1AED">
              <w:rPr>
                <w:b w:val="0"/>
              </w:rPr>
              <w:t xml:space="preserve"> dhe masat </w:t>
            </w:r>
            <w:proofErr w:type="spellStart"/>
            <w:r w:rsidRPr="004F1AED">
              <w:rPr>
                <w:b w:val="0"/>
              </w:rPr>
              <w:t>kundërbalancuese</w:t>
            </w:r>
            <w:proofErr w:type="spellEnd"/>
            <w:r w:rsidRPr="004F1AED">
              <w:rPr>
                <w:b w:val="0"/>
              </w:rPr>
              <w:t>, duke siguruar përputhjen me  standardet dhe praktikat e BE-së dhe të Organizatës Botërore të Tregtisë;</w:t>
            </w:r>
            <w:r>
              <w:rPr>
                <w:b w:val="0"/>
              </w:rPr>
              <w:t xml:space="preserve"> </w:t>
            </w:r>
            <w:r w:rsidRPr="004F1AED">
              <w:rPr>
                <w:b w:val="0"/>
              </w:rPr>
              <w:t>Koordinimi i aktiviteteve me Komisionin për Vlerësimin e Detyrimeve të Veçanta në Importe</w:t>
            </w:r>
            <w:r>
              <w:rPr>
                <w:b w:val="0"/>
              </w:rPr>
              <w:t xml:space="preserve"> </w:t>
            </w:r>
            <w:r w:rsidRPr="004F1AED">
              <w:rPr>
                <w:b w:val="0"/>
              </w:rPr>
              <w:t>dhe Komisionin për Vlerësimin e Masave Mbrojtëse në Importe;</w:t>
            </w:r>
            <w:r>
              <w:rPr>
                <w:b w:val="0"/>
              </w:rPr>
              <w:t xml:space="preserve"> </w:t>
            </w:r>
            <w:r w:rsidRPr="004F1AED">
              <w:rPr>
                <w:b w:val="0"/>
              </w:rPr>
              <w:t xml:space="preserve">Ofron këshilla dhe rekomandime mbi çështjet që kanë të bëjnë me masa </w:t>
            </w:r>
            <w:proofErr w:type="spellStart"/>
            <w:r w:rsidRPr="004F1AED">
              <w:rPr>
                <w:b w:val="0"/>
              </w:rPr>
              <w:t>anti</w:t>
            </w:r>
            <w:proofErr w:type="spellEnd"/>
            <w:r w:rsidRPr="004F1AED">
              <w:rPr>
                <w:b w:val="0"/>
              </w:rPr>
              <w:t>-dumping</w:t>
            </w:r>
            <w:r>
              <w:rPr>
                <w:b w:val="0"/>
              </w:rPr>
              <w:t xml:space="preserve"> </w:t>
            </w:r>
            <w:r w:rsidRPr="004F1AED">
              <w:rPr>
                <w:b w:val="0"/>
              </w:rPr>
              <w:t xml:space="preserve">dhe masat </w:t>
            </w:r>
            <w:proofErr w:type="spellStart"/>
            <w:r w:rsidRPr="004F1AED">
              <w:rPr>
                <w:b w:val="0"/>
              </w:rPr>
              <w:t>kundërbalancuese</w:t>
            </w:r>
            <w:proofErr w:type="spellEnd"/>
            <w:r w:rsidRPr="004F1AED">
              <w:rPr>
                <w:b w:val="0"/>
              </w:rPr>
              <w:t xml:space="preserve"> dhe masa mbrojtëse në importe;</w:t>
            </w:r>
            <w:r>
              <w:rPr>
                <w:b w:val="0"/>
              </w:rPr>
              <w:t xml:space="preserve"> </w:t>
            </w:r>
            <w:r w:rsidRPr="004F1AED">
              <w:rPr>
                <w:b w:val="0"/>
              </w:rPr>
              <w:t xml:space="preserve">Bën hulumtime sektoriale me qëllim identifikimin e sektorëve të atakuar me çmime të </w:t>
            </w:r>
            <w:proofErr w:type="spellStart"/>
            <w:r w:rsidRPr="004F1AED">
              <w:rPr>
                <w:b w:val="0"/>
              </w:rPr>
              <w:t>dampuara</w:t>
            </w:r>
            <w:proofErr w:type="spellEnd"/>
            <w:r w:rsidRPr="004F1AED">
              <w:rPr>
                <w:b w:val="0"/>
              </w:rPr>
              <w:t xml:space="preserve"> për produktet e importuara;</w:t>
            </w:r>
            <w:r>
              <w:rPr>
                <w:b w:val="0"/>
              </w:rPr>
              <w:t xml:space="preserve"> </w:t>
            </w:r>
            <w:r w:rsidRPr="004F1AED">
              <w:rPr>
                <w:b w:val="0"/>
              </w:rPr>
              <w:t xml:space="preserve">Ofron zgjidhje dhe propozon mjete ligjore për </w:t>
            </w:r>
            <w:r w:rsidRPr="004F1AED">
              <w:rPr>
                <w:b w:val="0"/>
              </w:rPr>
              <w:lastRenderedPageBreak/>
              <w:t>mbrojtje të tregtisë dhe siguron që masat e</w:t>
            </w:r>
            <w:r>
              <w:rPr>
                <w:b w:val="0"/>
              </w:rPr>
              <w:t xml:space="preserve"> </w:t>
            </w:r>
            <w:r w:rsidRPr="004F1AED">
              <w:rPr>
                <w:b w:val="0"/>
              </w:rPr>
              <w:t>shqiptuara janë në përputhje me legjislacionin përkatës vendor dhe atë të OBT-së;</w:t>
            </w:r>
            <w:r>
              <w:rPr>
                <w:b w:val="0"/>
              </w:rPr>
              <w:t xml:space="preserve"> Komisioni</w:t>
            </w:r>
            <w:r w:rsidRPr="004F1AED">
              <w:rPr>
                <w:b w:val="0"/>
              </w:rPr>
              <w:t xml:space="preserve"> </w:t>
            </w:r>
            <w:r>
              <w:rPr>
                <w:b w:val="0"/>
              </w:rPr>
              <w:t>për</w:t>
            </w:r>
            <w:r w:rsidRPr="004F1AED">
              <w:rPr>
                <w:b w:val="0"/>
              </w:rPr>
              <w:t xml:space="preserve"> Vlerësimi</w:t>
            </w:r>
            <w:r>
              <w:rPr>
                <w:b w:val="0"/>
              </w:rPr>
              <w:t>n e</w:t>
            </w:r>
            <w:r w:rsidRPr="004F1AED">
              <w:rPr>
                <w:b w:val="0"/>
              </w:rPr>
              <w:t xml:space="preserve"> Detyr</w:t>
            </w:r>
            <w:r>
              <w:rPr>
                <w:b w:val="0"/>
              </w:rPr>
              <w:t xml:space="preserve">imeve të Veçanta të Importit </w:t>
            </w:r>
            <w:r w:rsidRPr="004F1AED">
              <w:rPr>
                <w:b w:val="0"/>
              </w:rPr>
              <w:t xml:space="preserve">përbëhet nga përfaqësuesit </w:t>
            </w:r>
            <w:r>
              <w:rPr>
                <w:b w:val="0"/>
              </w:rPr>
              <w:t>e</w:t>
            </w:r>
            <w:r w:rsidRPr="004F1AED">
              <w:rPr>
                <w:b w:val="0"/>
              </w:rPr>
              <w:t xml:space="preserve"> institucioneve të mëposhtme:</w:t>
            </w:r>
          </w:p>
          <w:p w14:paraId="13CE9D94" w14:textId="77777777" w:rsidR="00A128E1" w:rsidRPr="004F1AED" w:rsidRDefault="00A128E1" w:rsidP="00A128E1">
            <w:pPr>
              <w:pStyle w:val="Heading2"/>
              <w:jc w:val="both"/>
              <w:rPr>
                <w:b w:val="0"/>
              </w:rPr>
            </w:pPr>
            <w:r w:rsidRPr="004F1AED">
              <w:rPr>
                <w:b w:val="0"/>
              </w:rPr>
              <w:t>2.1. Ministria përkatëse për Tregti dhe Industri Kryesues;</w:t>
            </w:r>
          </w:p>
          <w:p w14:paraId="787FFD6B" w14:textId="77777777" w:rsidR="00A128E1" w:rsidRPr="004F1AED" w:rsidRDefault="00A128E1" w:rsidP="00A128E1">
            <w:pPr>
              <w:pStyle w:val="Heading2"/>
              <w:jc w:val="both"/>
              <w:rPr>
                <w:b w:val="0"/>
              </w:rPr>
            </w:pPr>
            <w:r w:rsidRPr="004F1AED">
              <w:rPr>
                <w:b w:val="0"/>
              </w:rPr>
              <w:t>2.2. Ministria përkatëse e Ekonomisë dhe Financave;</w:t>
            </w:r>
          </w:p>
          <w:p w14:paraId="6129FD16" w14:textId="77777777" w:rsidR="00A128E1" w:rsidRPr="004F1AED" w:rsidRDefault="00A128E1" w:rsidP="00A128E1">
            <w:pPr>
              <w:pStyle w:val="Heading2"/>
              <w:jc w:val="both"/>
              <w:rPr>
                <w:b w:val="0"/>
              </w:rPr>
            </w:pPr>
            <w:r w:rsidRPr="004F1AED">
              <w:rPr>
                <w:b w:val="0"/>
              </w:rPr>
              <w:t>2.3. Ministria përkatëse e Bujqësisë, Pylltarisë dhe Zhvillimit Rural;</w:t>
            </w:r>
          </w:p>
          <w:p w14:paraId="22DF21B7" w14:textId="77777777" w:rsidR="00A128E1" w:rsidRPr="004F1AED" w:rsidRDefault="00A128E1" w:rsidP="00A128E1">
            <w:pPr>
              <w:pStyle w:val="Heading2"/>
              <w:jc w:val="both"/>
              <w:rPr>
                <w:b w:val="0"/>
              </w:rPr>
            </w:pPr>
            <w:r w:rsidRPr="004F1AED">
              <w:rPr>
                <w:b w:val="0"/>
              </w:rPr>
              <w:t>2.4. Ministria përkatëse e Energjisë dhe Minierave;</w:t>
            </w:r>
          </w:p>
          <w:p w14:paraId="651D3275" w14:textId="77777777" w:rsidR="00A128E1" w:rsidRPr="004F1AED" w:rsidRDefault="00A128E1" w:rsidP="00A128E1">
            <w:pPr>
              <w:pStyle w:val="Heading2"/>
              <w:jc w:val="both"/>
              <w:rPr>
                <w:b w:val="0"/>
              </w:rPr>
            </w:pPr>
            <w:r w:rsidRPr="004F1AED">
              <w:rPr>
                <w:b w:val="0"/>
              </w:rPr>
              <w:t>2.5. Ministria përkatëse e Punëve të Jashtme;</w:t>
            </w:r>
          </w:p>
          <w:p w14:paraId="2C25AF90" w14:textId="77777777" w:rsidR="00A128E1" w:rsidRPr="004F1AED" w:rsidRDefault="00A128E1" w:rsidP="00A128E1">
            <w:pPr>
              <w:pStyle w:val="Heading2"/>
              <w:jc w:val="both"/>
              <w:rPr>
                <w:b w:val="0"/>
              </w:rPr>
            </w:pPr>
            <w:r w:rsidRPr="004F1AED">
              <w:rPr>
                <w:b w:val="0"/>
              </w:rPr>
              <w:t>2.6. Ministria përkatëse e Punës dhe Mirëqenies Sociale;</w:t>
            </w:r>
          </w:p>
          <w:p w14:paraId="3CCCE0DC" w14:textId="77777777" w:rsidR="00A128E1" w:rsidRPr="004F1AED" w:rsidRDefault="00A128E1" w:rsidP="00A128E1">
            <w:pPr>
              <w:pStyle w:val="Heading2"/>
              <w:jc w:val="both"/>
              <w:rPr>
                <w:b w:val="0"/>
              </w:rPr>
            </w:pPr>
            <w:r w:rsidRPr="004F1AED">
              <w:rPr>
                <w:b w:val="0"/>
              </w:rPr>
              <w:t>2.7. Shërbimi Doganor i Kosovës.</w:t>
            </w:r>
          </w:p>
          <w:p w14:paraId="1ADB1E95" w14:textId="77777777" w:rsidR="00A128E1" w:rsidRPr="004F1AED" w:rsidRDefault="00A128E1" w:rsidP="00A128E1">
            <w:pPr>
              <w:pStyle w:val="Heading2"/>
              <w:jc w:val="both"/>
              <w:rPr>
                <w:b w:val="0"/>
              </w:rPr>
            </w:pPr>
            <w:r w:rsidRPr="004F1AED">
              <w:rPr>
                <w:b w:val="0"/>
              </w:rPr>
              <w:t>3. Komisioni</w:t>
            </w:r>
            <w:r>
              <w:rPr>
                <w:b w:val="0"/>
              </w:rPr>
              <w:t xml:space="preserve"> është përgjegjës për mbledhjen e të dhënave të nevojshme për fillimin e hetimeve dhe rekomandon ministrinë fillimin</w:t>
            </w:r>
            <w:r w:rsidRPr="004F1AED">
              <w:rPr>
                <w:b w:val="0"/>
              </w:rPr>
              <w:t>.</w:t>
            </w:r>
          </w:p>
          <w:p w14:paraId="6330F89E" w14:textId="77777777" w:rsidR="00A128E1" w:rsidRPr="004F1AED" w:rsidRDefault="00A128E1" w:rsidP="00A128E1">
            <w:pPr>
              <w:pStyle w:val="Heading2"/>
              <w:jc w:val="both"/>
              <w:rPr>
                <w:b w:val="0"/>
              </w:rPr>
            </w:pPr>
            <w:r w:rsidRPr="004F1AED">
              <w:rPr>
                <w:b w:val="0"/>
              </w:rPr>
              <w:lastRenderedPageBreak/>
              <w:t>4. Komisioni vendimet i merr më shumicë të thjeshtë votash.</w:t>
            </w:r>
          </w:p>
          <w:p w14:paraId="68BEB1F8" w14:textId="77777777" w:rsidR="00A128E1" w:rsidRPr="00F71475" w:rsidRDefault="00A128E1" w:rsidP="00A128E1">
            <w:pPr>
              <w:pStyle w:val="Heading2"/>
              <w:jc w:val="both"/>
            </w:pPr>
          </w:p>
        </w:tc>
      </w:tr>
      <w:tr w:rsidR="00A128E1" w:rsidRPr="00F71475" w14:paraId="425985E9" w14:textId="77777777" w:rsidTr="00A128E1">
        <w:trPr>
          <w:trHeight w:val="1520"/>
        </w:trPr>
        <w:tc>
          <w:tcPr>
            <w:tcW w:w="1955" w:type="dxa"/>
          </w:tcPr>
          <w:p w14:paraId="7F56056E" w14:textId="77777777" w:rsidR="00A128E1" w:rsidRPr="00295814" w:rsidRDefault="00A128E1" w:rsidP="00A128E1">
            <w:pPr>
              <w:pStyle w:val="Heading2"/>
              <w:rPr>
                <w:b w:val="0"/>
              </w:rPr>
            </w:pPr>
            <w:r w:rsidRPr="00295814">
              <w:rPr>
                <w:b w:val="0"/>
              </w:rPr>
              <w:lastRenderedPageBreak/>
              <w:t>Ligji nr. 08/L-021 për Tregti me Jashtë</w:t>
            </w:r>
          </w:p>
        </w:tc>
        <w:tc>
          <w:tcPr>
            <w:tcW w:w="2923" w:type="dxa"/>
          </w:tcPr>
          <w:p w14:paraId="221B528F" w14:textId="77777777" w:rsidR="00A128E1" w:rsidRPr="00295814" w:rsidRDefault="00A128E1" w:rsidP="00A128E1">
            <w:pPr>
              <w:pStyle w:val="Heading2"/>
              <w:rPr>
                <w:b w:val="0"/>
              </w:rPr>
            </w:pPr>
            <w:r w:rsidRPr="00295814">
              <w:rPr>
                <w:b w:val="0"/>
              </w:rPr>
              <w:t>https://gzk.rks-gov.net/ActDetail.aspx?ActID=55136</w:t>
            </w:r>
          </w:p>
        </w:tc>
        <w:tc>
          <w:tcPr>
            <w:tcW w:w="2160" w:type="dxa"/>
          </w:tcPr>
          <w:p w14:paraId="0D3B0CB2" w14:textId="77777777" w:rsidR="00A128E1" w:rsidRPr="00295814" w:rsidRDefault="00A128E1" w:rsidP="00A128E1">
            <w:pPr>
              <w:pStyle w:val="Heading2"/>
              <w:rPr>
                <w:b w:val="0"/>
              </w:rPr>
            </w:pPr>
            <w:r w:rsidRPr="00295814">
              <w:rPr>
                <w:b w:val="0"/>
              </w:rPr>
              <w:t>MINT, Dogana, MF,ME</w:t>
            </w:r>
          </w:p>
        </w:tc>
        <w:tc>
          <w:tcPr>
            <w:tcW w:w="2880" w:type="dxa"/>
          </w:tcPr>
          <w:p w14:paraId="2D62CCDA" w14:textId="77777777" w:rsidR="00A128E1" w:rsidRPr="00F71475" w:rsidRDefault="00A128E1" w:rsidP="00A128E1">
            <w:pPr>
              <w:pStyle w:val="Heading2"/>
            </w:pPr>
          </w:p>
        </w:tc>
      </w:tr>
      <w:tr w:rsidR="00A128E1" w:rsidRPr="00F71475" w14:paraId="676553F7" w14:textId="77777777" w:rsidTr="00A128E1">
        <w:trPr>
          <w:trHeight w:val="1520"/>
        </w:trPr>
        <w:tc>
          <w:tcPr>
            <w:tcW w:w="1955" w:type="dxa"/>
          </w:tcPr>
          <w:p w14:paraId="7F7316C1" w14:textId="77777777" w:rsidR="00A128E1" w:rsidRPr="00295814" w:rsidRDefault="00A128E1" w:rsidP="00A128E1">
            <w:pPr>
              <w:pStyle w:val="Heading2"/>
              <w:rPr>
                <w:b w:val="0"/>
              </w:rPr>
            </w:pPr>
            <w:r w:rsidRPr="00295814">
              <w:rPr>
                <w:b w:val="0"/>
              </w:rPr>
              <w:t xml:space="preserve">Udhëzim Administrativ (MTI) Nr. 05/2016 për përmbajtjen e formularit të kërkesës dhe njoftimit për fillimin e hetimeve për importe të </w:t>
            </w:r>
            <w:proofErr w:type="spellStart"/>
            <w:r w:rsidRPr="00295814">
              <w:rPr>
                <w:b w:val="0"/>
              </w:rPr>
              <w:t>dampuara</w:t>
            </w:r>
            <w:proofErr w:type="spellEnd"/>
            <w:r w:rsidRPr="00295814">
              <w:rPr>
                <w:b w:val="0"/>
              </w:rPr>
              <w:t xml:space="preserve"> ose të subvencionuara</w:t>
            </w:r>
          </w:p>
        </w:tc>
        <w:tc>
          <w:tcPr>
            <w:tcW w:w="2923" w:type="dxa"/>
          </w:tcPr>
          <w:p w14:paraId="7D3CE584" w14:textId="77777777" w:rsidR="00A128E1" w:rsidRPr="00295814" w:rsidRDefault="00A128E1" w:rsidP="00A128E1">
            <w:pPr>
              <w:pStyle w:val="Heading2"/>
              <w:rPr>
                <w:b w:val="0"/>
              </w:rPr>
            </w:pPr>
            <w:r w:rsidRPr="00295814">
              <w:rPr>
                <w:b w:val="0"/>
              </w:rPr>
              <w:t>https://gzk.rks-gov.net/ActDetail.aspx?ActID=12423</w:t>
            </w:r>
          </w:p>
        </w:tc>
        <w:tc>
          <w:tcPr>
            <w:tcW w:w="2160" w:type="dxa"/>
          </w:tcPr>
          <w:p w14:paraId="243DFF74" w14:textId="77777777" w:rsidR="00A128E1" w:rsidRPr="00295814" w:rsidRDefault="00A128E1" w:rsidP="00A128E1">
            <w:pPr>
              <w:pStyle w:val="Heading2"/>
              <w:rPr>
                <w:b w:val="0"/>
              </w:rPr>
            </w:pPr>
            <w:r w:rsidRPr="00295814">
              <w:rPr>
                <w:b w:val="0"/>
              </w:rPr>
              <w:t>MINT, Dogana, MF,ME</w:t>
            </w:r>
          </w:p>
        </w:tc>
        <w:tc>
          <w:tcPr>
            <w:tcW w:w="2880" w:type="dxa"/>
          </w:tcPr>
          <w:p w14:paraId="797DBA69" w14:textId="77777777" w:rsidR="00A128E1" w:rsidRPr="00F71475" w:rsidRDefault="00A128E1" w:rsidP="00A128E1">
            <w:pPr>
              <w:pStyle w:val="Heading2"/>
            </w:pPr>
          </w:p>
        </w:tc>
      </w:tr>
    </w:tbl>
    <w:p w14:paraId="09B321F3" w14:textId="77777777" w:rsidR="009B0587" w:rsidRPr="009B0587" w:rsidRDefault="009B0587" w:rsidP="009B0587"/>
    <w:p w14:paraId="4DFFFA3F" w14:textId="5E72597D" w:rsidR="00FC649E" w:rsidRDefault="00FC649E" w:rsidP="003D019A">
      <w:pPr>
        <w:pStyle w:val="Heading2"/>
      </w:pPr>
      <w:r w:rsidRPr="00937662">
        <w:t>Kapitulli 1.1 Çështjet kryesore</w:t>
      </w:r>
      <w:r w:rsidR="00D95F6F">
        <w:t xml:space="preserve"> lidhur me zbati</w:t>
      </w:r>
      <w:r w:rsidR="00CC6829">
        <w:t>m</w:t>
      </w:r>
      <w:r w:rsidR="00D95F6F">
        <w:t xml:space="preserve">in e </w:t>
      </w:r>
      <w:r w:rsidRPr="00937662">
        <w:t xml:space="preserve"> </w:t>
      </w:r>
      <w:r w:rsidR="00B07EC6">
        <w:t>l</w:t>
      </w:r>
      <w:r w:rsidRPr="00937662">
        <w:t>igji</w:t>
      </w:r>
      <w:r w:rsidR="00D95F6F">
        <w:t>t</w:t>
      </w:r>
      <w:r w:rsidRPr="00937662">
        <w:t xml:space="preserve"> </w:t>
      </w:r>
      <w:bookmarkEnd w:id="5"/>
      <w:r w:rsidR="005859E1">
        <w:t>aktual</w:t>
      </w:r>
    </w:p>
    <w:p w14:paraId="22F6684C" w14:textId="687D06E2" w:rsidR="00DC02B5" w:rsidRDefault="008B6AB2" w:rsidP="00CD6242">
      <w:pPr>
        <w:jc w:val="both"/>
      </w:pPr>
      <w:r>
        <w:t>Pas shpalljes s</w:t>
      </w:r>
      <w:r w:rsidR="00411C92">
        <w:t>ë</w:t>
      </w:r>
      <w:r>
        <w:t xml:space="preserve"> </w:t>
      </w:r>
      <w:r w:rsidR="00B07EC6">
        <w:t>p</w:t>
      </w:r>
      <w:r>
        <w:t>avar</w:t>
      </w:r>
      <w:r w:rsidR="00411C92">
        <w:t>ë</w:t>
      </w:r>
      <w:r>
        <w:t>sis</w:t>
      </w:r>
      <w:r w:rsidR="00411C92">
        <w:t>ë</w:t>
      </w:r>
      <w:r>
        <w:t>, me rritjen graduale t</w:t>
      </w:r>
      <w:r w:rsidR="00411C92">
        <w:t>ë</w:t>
      </w:r>
      <w:r>
        <w:t xml:space="preserve"> prodhimtaris</w:t>
      </w:r>
      <w:r w:rsidR="00411C92">
        <w:t>ë</w:t>
      </w:r>
      <w:r>
        <w:t xml:space="preserve"> n</w:t>
      </w:r>
      <w:r w:rsidR="00411C92">
        <w:t>ë</w:t>
      </w:r>
      <w:r>
        <w:t xml:space="preserve"> sektorë t</w:t>
      </w:r>
      <w:r w:rsidR="00411C92">
        <w:t>ë</w:t>
      </w:r>
      <w:r>
        <w:t xml:space="preserve"> caktuar, si mekaniz</w:t>
      </w:r>
      <w:r w:rsidR="00411C92">
        <w:t>ë</w:t>
      </w:r>
      <w:r>
        <w:t>m p</w:t>
      </w:r>
      <w:r w:rsidR="00411C92">
        <w:t>ë</w:t>
      </w:r>
      <w:r>
        <w:t>r mbrojtjen e industris</w:t>
      </w:r>
      <w:r w:rsidR="00411C92">
        <w:t>ë</w:t>
      </w:r>
      <w:r>
        <w:t xml:space="preserve"> vendore respektivisht prodhuesve vendor, n</w:t>
      </w:r>
      <w:r w:rsidR="00411C92">
        <w:t>ë</w:t>
      </w:r>
      <w:r>
        <w:t xml:space="preserve"> vitin 2010 p</w:t>
      </w:r>
      <w:r w:rsidR="00411C92">
        <w:t>ë</w:t>
      </w:r>
      <w:r>
        <w:t>r her</w:t>
      </w:r>
      <w:r w:rsidR="00411C92">
        <w:t>ë</w:t>
      </w:r>
      <w:r>
        <w:t xml:space="preserve"> te par</w:t>
      </w:r>
      <w:r w:rsidR="00411C92">
        <w:t>ë</w:t>
      </w:r>
      <w:r>
        <w:t xml:space="preserve"> u hartua dhe miratua Ligji </w:t>
      </w:r>
      <w:r w:rsidR="00CD6242">
        <w:t xml:space="preserve">Nr. 03/L-097 </w:t>
      </w:r>
      <w:r>
        <w:t>p</w:t>
      </w:r>
      <w:r w:rsidR="00411C92">
        <w:t>ë</w:t>
      </w:r>
      <w:r>
        <w:t xml:space="preserve">r </w:t>
      </w:r>
      <w:r w:rsidR="00CD6242">
        <w:t>M</w:t>
      </w:r>
      <w:r>
        <w:t xml:space="preserve">asat </w:t>
      </w:r>
      <w:proofErr w:type="spellStart"/>
      <w:r w:rsidR="00CD6242">
        <w:t>A</w:t>
      </w:r>
      <w:r>
        <w:t>ntidamping</w:t>
      </w:r>
      <w:proofErr w:type="spellEnd"/>
      <w:r>
        <w:t xml:space="preserve"> dhe </w:t>
      </w:r>
      <w:r w:rsidR="00CD6242">
        <w:t xml:space="preserve">Masat </w:t>
      </w:r>
      <w:proofErr w:type="spellStart"/>
      <w:r w:rsidR="00CD6242">
        <w:t>K</w:t>
      </w:r>
      <w:r>
        <w:t>und</w:t>
      </w:r>
      <w:r w:rsidR="00411C92">
        <w:t>ë</w:t>
      </w:r>
      <w:r>
        <w:t>rbalancuese</w:t>
      </w:r>
      <w:proofErr w:type="spellEnd"/>
      <w:r w:rsidR="00DD5552">
        <w:t xml:space="preserve"> i cili ishte pjes</w:t>
      </w:r>
      <w:r w:rsidR="00411C92">
        <w:t>ë</w:t>
      </w:r>
      <w:r w:rsidR="00DD5552">
        <w:t>risht i harmonizuar me rregulloret e BE-s</w:t>
      </w:r>
      <w:r w:rsidR="00411C92">
        <w:t>ë</w:t>
      </w:r>
      <w:r w:rsidR="00DD5552">
        <w:t xml:space="preserve">: (KE) 384/96 dhe (KE) 2026/97 me </w:t>
      </w:r>
      <w:proofErr w:type="spellStart"/>
      <w:r w:rsidR="00DD5552">
        <w:t>ç’rast</w:t>
      </w:r>
      <w:proofErr w:type="spellEnd"/>
      <w:r w:rsidR="00DD5552">
        <w:t xml:space="preserve"> ligji n</w:t>
      </w:r>
      <w:r w:rsidR="00411C92">
        <w:t>ë</w:t>
      </w:r>
      <w:r w:rsidR="00DD5552">
        <w:t xml:space="preserve"> mas</w:t>
      </w:r>
      <w:r w:rsidR="00411C92">
        <w:t>ë</w:t>
      </w:r>
      <w:r w:rsidR="00DD5552">
        <w:t xml:space="preserve"> t</w:t>
      </w:r>
      <w:r w:rsidR="00411C92">
        <w:t>ë</w:t>
      </w:r>
      <w:r w:rsidR="00DD5552">
        <w:t xml:space="preserve"> madhe i ka pasur si referenca dispozitat e k</w:t>
      </w:r>
      <w:r w:rsidR="00411C92">
        <w:t>ë</w:t>
      </w:r>
      <w:r w:rsidR="00DD5552">
        <w:t>tyre rregulloreve</w:t>
      </w:r>
      <w:r>
        <w:t>. Ndon</w:t>
      </w:r>
      <w:r w:rsidR="00411C92">
        <w:t>ë</w:t>
      </w:r>
      <w:r>
        <w:t>se n</w:t>
      </w:r>
      <w:r w:rsidR="00411C92">
        <w:t>ë</w:t>
      </w:r>
      <w:r>
        <w:t xml:space="preserve"> at</w:t>
      </w:r>
      <w:r w:rsidR="00411C92">
        <w:t>ë</w:t>
      </w:r>
      <w:r>
        <w:t xml:space="preserve"> koh</w:t>
      </w:r>
      <w:r w:rsidR="00411C92">
        <w:t>ë</w:t>
      </w:r>
      <w:r>
        <w:t xml:space="preserve"> njohurit</w:t>
      </w:r>
      <w:r w:rsidR="00411C92">
        <w:t>ë</w:t>
      </w:r>
      <w:r>
        <w:t xml:space="preserve"> </w:t>
      </w:r>
      <w:r w:rsidR="00CD6242">
        <w:t>ishin relativisht t</w:t>
      </w:r>
      <w:r w:rsidR="00411C92">
        <w:t>ë</w:t>
      </w:r>
      <w:r w:rsidR="00CD6242">
        <w:t xml:space="preserve"> kufizuara sa i p</w:t>
      </w:r>
      <w:r w:rsidR="00411C92">
        <w:t>ë</w:t>
      </w:r>
      <w:r w:rsidR="00CD6242">
        <w:t>rket k</w:t>
      </w:r>
      <w:r w:rsidR="00411C92">
        <w:t>ë</w:t>
      </w:r>
      <w:r w:rsidR="00CD6242">
        <w:t>saj</w:t>
      </w:r>
      <w:r>
        <w:t xml:space="preserve"> fush</w:t>
      </w:r>
      <w:r w:rsidR="00CD6242">
        <w:t>e</w:t>
      </w:r>
      <w:r>
        <w:t xml:space="preserve">, ligji trajtoi disa nga elementet kryesore </w:t>
      </w:r>
      <w:r w:rsidR="00CD6242">
        <w:t>n</w:t>
      </w:r>
      <w:r w:rsidR="00411C92">
        <w:t>ë</w:t>
      </w:r>
      <w:r w:rsidR="00CD6242">
        <w:t xml:space="preserve"> m</w:t>
      </w:r>
      <w:r w:rsidR="00411C92">
        <w:t>ë</w:t>
      </w:r>
      <w:r w:rsidR="00CD6242">
        <w:t>nyr</w:t>
      </w:r>
      <w:r w:rsidR="00411C92">
        <w:t>ë</w:t>
      </w:r>
      <w:r w:rsidR="00CD6242">
        <w:t xml:space="preserve"> t</w:t>
      </w:r>
      <w:r w:rsidR="00411C92">
        <w:t>ë</w:t>
      </w:r>
      <w:r w:rsidR="00CD6242">
        <w:t xml:space="preserve"> mjaftueshme </w:t>
      </w:r>
      <w:r>
        <w:t>p</w:t>
      </w:r>
      <w:r w:rsidR="00411C92">
        <w:t>ë</w:t>
      </w:r>
      <w:r>
        <w:t>r t</w:t>
      </w:r>
      <w:r w:rsidR="00411C92">
        <w:t>ë</w:t>
      </w:r>
      <w:r>
        <w:t xml:space="preserve"> mbrojtur prodhuesit vendor dhe p</w:t>
      </w:r>
      <w:r w:rsidR="00411C92">
        <w:t>ë</w:t>
      </w:r>
      <w:r>
        <w:t>r t</w:t>
      </w:r>
      <w:r w:rsidR="00411C92">
        <w:t>ë</w:t>
      </w:r>
      <w:r>
        <w:t xml:space="preserve"> caktuar disa parime baz</w:t>
      </w:r>
      <w:r w:rsidR="00411C92">
        <w:t>ë</w:t>
      </w:r>
      <w:r>
        <w:t xml:space="preserve"> </w:t>
      </w:r>
      <w:r w:rsidR="00CD6242">
        <w:t>sa i p</w:t>
      </w:r>
      <w:r w:rsidR="00411C92">
        <w:t>ë</w:t>
      </w:r>
      <w:r w:rsidR="00CD6242">
        <w:t>rket praktikave tregtare potencialisht t</w:t>
      </w:r>
      <w:r w:rsidR="00411C92">
        <w:t>ë</w:t>
      </w:r>
      <w:r w:rsidR="00CD6242">
        <w:t xml:space="preserve"> padrejta me rastin e importit t</w:t>
      </w:r>
      <w:r w:rsidR="00411C92">
        <w:t>ë</w:t>
      </w:r>
      <w:r w:rsidR="00CD6242">
        <w:t xml:space="preserve"> produkteve n</w:t>
      </w:r>
      <w:r w:rsidR="00411C92">
        <w:t>ë</w:t>
      </w:r>
      <w:r w:rsidR="00CD6242">
        <w:t xml:space="preserve"> vendin ton</w:t>
      </w:r>
      <w:r w:rsidR="00411C92">
        <w:t>ë</w:t>
      </w:r>
      <w:r w:rsidR="00CD6242">
        <w:t xml:space="preserve">. </w:t>
      </w:r>
      <w:r>
        <w:t xml:space="preserve">   </w:t>
      </w:r>
    </w:p>
    <w:p w14:paraId="12A67B68" w14:textId="02E4BE29" w:rsidR="0041116A" w:rsidRDefault="0041116A" w:rsidP="0041116A">
      <w:pPr>
        <w:jc w:val="both"/>
      </w:pPr>
      <w:r>
        <w:t xml:space="preserve">Republika e Kosovës ka qenë e angazhuar në një proces të liberalizimit të tregtisë. Në nivel rajonal ajo është palë e Marrëveshjes së Tregtisë së Lirë të Evropës Qendrore (CEFTA), nënshkroi një marrëveshje tregtie dhe bashkëpunimi me Mbretërinë e Bashkuar, një marrëveshje të tregtisë së lirë me Turqinë dhe ka filluar procesin e anëtarësimit për Shoqatën Evropiane të Tregtisë së Lirë. Më e rëndësishmja, ajo ka nënshkruar Marrëveshjen e Stabilizim </w:t>
      </w:r>
      <w:proofErr w:type="spellStart"/>
      <w:r>
        <w:t>Asociimit</w:t>
      </w:r>
      <w:proofErr w:type="spellEnd"/>
      <w:r>
        <w:t xml:space="preserve"> (MSA) me Bashkimin </w:t>
      </w:r>
      <w:r>
        <w:lastRenderedPageBreak/>
        <w:t>Evropian (BE) e cila ka hyrë në fuqi në vitin 2006 dhe që shërben, ndër të tjera, si një marrëveshje e tregtisë së lirë.</w:t>
      </w:r>
    </w:p>
    <w:p w14:paraId="7D11671B" w14:textId="2F8D75EC" w:rsidR="0041116A" w:rsidRDefault="0041116A" w:rsidP="0041116A">
      <w:pPr>
        <w:jc w:val="both"/>
      </w:pPr>
      <w:r>
        <w:t>Përveç kësaj, Kosova ka futur një regjim tregtar liberal të aplikueshëm për importet nga të gjitha vendet, përfshirë vendet me të cilat nuk ka marrëveshje tregtare preferenciale. Ligji nr.08/L-021 mbi Treg</w:t>
      </w:r>
      <w:r w:rsidR="00C022DE">
        <w:t>tinë e Jashtme</w:t>
      </w:r>
      <w:r>
        <w:t xml:space="preserve"> praktikisht dyfishon dispozitat thelbësore të Marrëveshjes së Përgjithshme për Tarifat dhe Tregtinë 1994 (GATT 1994). </w:t>
      </w:r>
    </w:p>
    <w:p w14:paraId="5C990163" w14:textId="60AA1F73" w:rsidR="0041116A" w:rsidRDefault="0041116A" w:rsidP="0041116A">
      <w:pPr>
        <w:jc w:val="both"/>
      </w:pPr>
      <w:r>
        <w:t>Me liberalizimin e tregtisë vijnë përfitime ekonomike (veçanërisht në afat të gjatë), por edhe të meta. Instrumentet e mbrojtjes tregtare (</w:t>
      </w:r>
      <w:proofErr w:type="spellStart"/>
      <w:r>
        <w:t>antidamping</w:t>
      </w:r>
      <w:proofErr w:type="spellEnd"/>
      <w:r>
        <w:t xml:space="preserve">, </w:t>
      </w:r>
      <w:proofErr w:type="spellStart"/>
      <w:r>
        <w:t>antisubvencionimi</w:t>
      </w:r>
      <w:proofErr w:type="spellEnd"/>
      <w:r>
        <w:t xml:space="preserve"> dhe masat mbrojtëse) synohen të jenë mjete për të kundërshtuar, në mënyrë të përkohshme, efektet negative të liberalizimit të tregtisë. Ndërsa masat </w:t>
      </w:r>
      <w:proofErr w:type="spellStart"/>
      <w:r>
        <w:t>kundërbalancuese</w:t>
      </w:r>
      <w:proofErr w:type="spellEnd"/>
      <w:r>
        <w:t xml:space="preserve"> synojnë kompensimin e subvencionimit dhe barazimin e kushteve</w:t>
      </w:r>
      <w:r w:rsidR="006445F6">
        <w:t xml:space="preserve"> t</w:t>
      </w:r>
      <w:r w:rsidR="00114593">
        <w:t>ë</w:t>
      </w:r>
      <w:r w:rsidR="006445F6">
        <w:t xml:space="preserve"> tregut</w:t>
      </w:r>
      <w:r>
        <w:t xml:space="preserve">, masat </w:t>
      </w:r>
      <w:proofErr w:type="spellStart"/>
      <w:r>
        <w:t>antidamping</w:t>
      </w:r>
      <w:proofErr w:type="spellEnd"/>
      <w:r>
        <w:t xml:space="preserve"> dhe mbrojtëse nuk synojnë </w:t>
      </w:r>
      <w:proofErr w:type="spellStart"/>
      <w:r>
        <w:t>domosdoshmërisht</w:t>
      </w:r>
      <w:proofErr w:type="spellEnd"/>
      <w:r>
        <w:t xml:space="preserve"> praktikat e huaja "të padrejta" ose shtrembëruese të tregtisë, por ofrojnë një lehtësim të përkohshëm për industritë vendore të dëmtuara nga konkurrenca e huaj në tregun vendor. Prandaj, këto </w:t>
      </w:r>
      <w:r w:rsidR="006445F6">
        <w:t xml:space="preserve">mjete </w:t>
      </w:r>
      <w:r>
        <w:t>nuk do të kuptohen si “proteksioniste” në vetvete , por si “rrethojë mbrojtëse” që bëjnë të mundur zotimin për liberalizimin e tregtisë.</w:t>
      </w:r>
    </w:p>
    <w:p w14:paraId="4C95D216" w14:textId="74D71E69" w:rsidR="0041116A" w:rsidRDefault="0041116A" w:rsidP="0041116A">
      <w:pPr>
        <w:jc w:val="both"/>
      </w:pPr>
      <w:r>
        <w:t>Prandaj, ajo që ka rëndësi është që këto masa (të cilat mund të kenë efekte shtrembëruese tregtare) të miratohen dhe zbatohen në mënyrë transparente dhe në një mënyrë që të mos rrezikojnë angazhimet për liberalizimin e tregtisë. Këto janë rregullat e OBT-së për mbrojtjen tregtare. Në këtë aspekt, duhet të nënvizohet se Kosova është zotuar, sipas kushteve të CEFTA-s  dhe MSA-së,  të respektojë rregullat e OBT-së për masat mbrojtëse dhe masat juridike tregtare (</w:t>
      </w:r>
      <w:proofErr w:type="spellStart"/>
      <w:r>
        <w:t>antidamping</w:t>
      </w:r>
      <w:proofErr w:type="spellEnd"/>
      <w:r>
        <w:t xml:space="preserve"> dhe </w:t>
      </w:r>
      <w:proofErr w:type="spellStart"/>
      <w:r>
        <w:t>antisubvencionim</w:t>
      </w:r>
      <w:proofErr w:type="spellEnd"/>
      <w:r>
        <w:t>) në lidhje me importet nga pala(ët) kontraktuese).</w:t>
      </w:r>
    </w:p>
    <w:p w14:paraId="3F57D1E6" w14:textId="5E8F2EF4" w:rsidR="00815471" w:rsidRDefault="00815471" w:rsidP="00CD6242">
      <w:pPr>
        <w:jc w:val="both"/>
      </w:pPr>
      <w:r>
        <w:t>N</w:t>
      </w:r>
      <w:r w:rsidR="00411C92">
        <w:t>ë</w:t>
      </w:r>
      <w:r w:rsidR="0041116A">
        <w:t xml:space="preserve"> këtë sfond, Republika e Kosovës në</w:t>
      </w:r>
      <w:r>
        <w:t xml:space="preserve"> vitin 2014 </w:t>
      </w:r>
      <w:r w:rsidR="0041116A">
        <w:t>hartoi dhe miratoi</w:t>
      </w:r>
      <w:r>
        <w:t xml:space="preserve"> Ligji</w:t>
      </w:r>
      <w:r w:rsidR="0041116A">
        <w:t>n</w:t>
      </w:r>
      <w:r>
        <w:t xml:space="preserve"> </w:t>
      </w:r>
      <w:r w:rsidR="0041116A">
        <w:t>e</w:t>
      </w:r>
      <w:r>
        <w:t xml:space="preserve"> ri p</w:t>
      </w:r>
      <w:r w:rsidR="00411C92">
        <w:t>ë</w:t>
      </w:r>
      <w:r>
        <w:t xml:space="preserve">r Masat </w:t>
      </w:r>
      <w:proofErr w:type="spellStart"/>
      <w:r>
        <w:t>Antidamping</w:t>
      </w:r>
      <w:proofErr w:type="spellEnd"/>
      <w:r>
        <w:t xml:space="preserve"> dhe Masat </w:t>
      </w:r>
      <w:proofErr w:type="spellStart"/>
      <w:r>
        <w:t>Kund</w:t>
      </w:r>
      <w:r w:rsidR="00411C92">
        <w:t>ë</w:t>
      </w:r>
      <w:r>
        <w:t>rbalancuese</w:t>
      </w:r>
      <w:proofErr w:type="spellEnd"/>
      <w:r>
        <w:t xml:space="preserve">, si </w:t>
      </w:r>
      <w:proofErr w:type="spellStart"/>
      <w:r>
        <w:t>transpozim</w:t>
      </w:r>
      <w:proofErr w:type="spellEnd"/>
      <w:r>
        <w:t xml:space="preserve"> i </w:t>
      </w:r>
      <w:proofErr w:type="spellStart"/>
      <w:r>
        <w:t>pjes</w:t>
      </w:r>
      <w:r w:rsidR="00411C92">
        <w:t>ë</w:t>
      </w:r>
      <w:r>
        <w:t>rish</w:t>
      </w:r>
      <w:r w:rsidR="00411C92">
        <w:t>ë</w:t>
      </w:r>
      <w:r>
        <w:t>m</w:t>
      </w:r>
      <w:proofErr w:type="spellEnd"/>
      <w:r>
        <w:t xml:space="preserve"> i rregulloreve t</w:t>
      </w:r>
      <w:r w:rsidR="00411C92">
        <w:t>ë</w:t>
      </w:r>
      <w:r>
        <w:t xml:space="preserve"> BE-s</w:t>
      </w:r>
      <w:r w:rsidR="00411C92">
        <w:t>ë</w:t>
      </w:r>
      <w:r>
        <w:t xml:space="preserve">:  </w:t>
      </w:r>
      <w:r w:rsidRPr="00815471">
        <w:t>Nr. 1225/2009</w:t>
      </w:r>
      <w:r>
        <w:t xml:space="preserve"> </w:t>
      </w:r>
      <w:r w:rsidRPr="00815471">
        <w:t xml:space="preserve">për mbrojtjen kundër importeve të </w:t>
      </w:r>
      <w:proofErr w:type="spellStart"/>
      <w:r w:rsidRPr="00815471">
        <w:t>dampuara</w:t>
      </w:r>
      <w:proofErr w:type="spellEnd"/>
      <w:r w:rsidRPr="00815471">
        <w:t xml:space="preserve"> nga vendet jo anëtare të Komunitetit Evropian </w:t>
      </w:r>
      <w:r>
        <w:t>dhe nr. 597/2009</w:t>
      </w:r>
      <w:r w:rsidR="00CC18FE">
        <w:t xml:space="preserve"> </w:t>
      </w:r>
      <w:r w:rsidR="00CC18FE" w:rsidRPr="00CC18FE">
        <w:t>për mbrojtjen kundër produkteve të subvencionuara nga vendet jo anëtare të Komunitetit Evropian</w:t>
      </w:r>
      <w:r>
        <w:t xml:space="preserve">. </w:t>
      </w:r>
    </w:p>
    <w:p w14:paraId="49D2E1A1" w14:textId="74CD9B02" w:rsidR="00FF0775" w:rsidRPr="00DC02B5" w:rsidRDefault="00FF0775" w:rsidP="00CD6242">
      <w:pPr>
        <w:jc w:val="both"/>
      </w:pPr>
      <w:r>
        <w:t xml:space="preserve">Ligji aktual ka </w:t>
      </w:r>
      <w:r w:rsidR="00EC17E9">
        <w:t>gjithsejtë</w:t>
      </w:r>
      <w:r>
        <w:t xml:space="preserve"> 58 nene, n</w:t>
      </w:r>
      <w:r w:rsidR="00411C92">
        <w:t>ë</w:t>
      </w:r>
      <w:r>
        <w:t xml:space="preserve"> ligj jan</w:t>
      </w:r>
      <w:r w:rsidR="00411C92">
        <w:t>ë</w:t>
      </w:r>
      <w:r>
        <w:t xml:space="preserve"> t</w:t>
      </w:r>
      <w:r w:rsidR="00411C92">
        <w:t>ë</w:t>
      </w:r>
      <w:r>
        <w:t xml:space="preserve"> </w:t>
      </w:r>
      <w:r w:rsidRPr="00FF0775">
        <w:t>përcakt</w:t>
      </w:r>
      <w:r>
        <w:t>uara</w:t>
      </w:r>
      <w:r w:rsidRPr="00FF0775">
        <w:t xml:space="preserve"> rregullat duke përfshirë ato që </w:t>
      </w:r>
      <w:r w:rsidR="00EC17E9">
        <w:t>nd</w:t>
      </w:r>
      <w:r w:rsidR="00411C92">
        <w:t>ë</w:t>
      </w:r>
      <w:r w:rsidR="00EC17E9">
        <w:t>r</w:t>
      </w:r>
      <w:r w:rsidRPr="00FF0775">
        <w:t>lidhen me përcaktimin e dumpingut, procedurat për fillimin dhe ndjekjen e një hetimi, detyrimin e masave të përkohshm</w:t>
      </w:r>
      <w:r>
        <w:t>e dhe përfundimtare</w:t>
      </w:r>
      <w:r w:rsidRPr="00FF0775">
        <w:t xml:space="preserve"> dhe kohëzgjatjen apo rishikimin e masave </w:t>
      </w:r>
      <w:r w:rsidR="00EC17E9">
        <w:t>etj. Edhe p</w:t>
      </w:r>
      <w:r w:rsidR="00411C92">
        <w:t>ë</w:t>
      </w:r>
      <w:r w:rsidR="00EC17E9">
        <w:t>rkund</w:t>
      </w:r>
      <w:r w:rsidR="00411C92">
        <w:t>ë</w:t>
      </w:r>
      <w:r w:rsidR="00EC17E9">
        <w:t>r faktit se ky ligj krahasuar me at</w:t>
      </w:r>
      <w:r w:rsidR="00411C92">
        <w:t>ë</w:t>
      </w:r>
      <w:r w:rsidR="00EC17E9">
        <w:t xml:space="preserve"> t</w:t>
      </w:r>
      <w:r w:rsidR="00411C92">
        <w:t>ë</w:t>
      </w:r>
      <w:r w:rsidR="00EC17E9">
        <w:t xml:space="preserve"> kaluarin </w:t>
      </w:r>
      <w:r w:rsidR="00411C92">
        <w:t>ë</w:t>
      </w:r>
      <w:r w:rsidR="00EC17E9">
        <w:t>sht</w:t>
      </w:r>
      <w:r w:rsidR="00411C92">
        <w:t>ë</w:t>
      </w:r>
      <w:r w:rsidR="00EC17E9">
        <w:t xml:space="preserve"> mjaft i </w:t>
      </w:r>
      <w:proofErr w:type="spellStart"/>
      <w:r w:rsidR="00EC17E9">
        <w:t>avansuar</w:t>
      </w:r>
      <w:proofErr w:type="spellEnd"/>
      <w:r w:rsidR="00EC17E9">
        <w:t>, me rastin e implementimit</w:t>
      </w:r>
      <w:r w:rsidR="0038105D">
        <w:t xml:space="preserve"> t</w:t>
      </w:r>
      <w:r w:rsidR="00411C92">
        <w:t>ë</w:t>
      </w:r>
      <w:r w:rsidR="0038105D">
        <w:t xml:space="preserve"> ligjit</w:t>
      </w:r>
      <w:r w:rsidR="00EC17E9">
        <w:t xml:space="preserve"> respektivisht </w:t>
      </w:r>
      <w:r w:rsidR="0038105D">
        <w:t>procedurave p</w:t>
      </w:r>
      <w:r w:rsidR="00411C92">
        <w:t>ë</w:t>
      </w:r>
      <w:r w:rsidR="0038105D">
        <w:t>r fillimin e hetimeve si dhe a</w:t>
      </w:r>
      <w:r w:rsidR="00EC17E9">
        <w:t>plikimit t</w:t>
      </w:r>
      <w:r w:rsidR="00411C92">
        <w:t>ë</w:t>
      </w:r>
      <w:r w:rsidR="00EC17E9">
        <w:t xml:space="preserve"> masave, jan</w:t>
      </w:r>
      <w:r w:rsidR="00411C92">
        <w:t>ë</w:t>
      </w:r>
      <w:r w:rsidR="00EC17E9">
        <w:t xml:space="preserve"> v</w:t>
      </w:r>
      <w:r w:rsidR="00411C92">
        <w:t>ë</w:t>
      </w:r>
      <w:r w:rsidR="00EC17E9">
        <w:t>rejtur disa paqart</w:t>
      </w:r>
      <w:r w:rsidR="00411C92">
        <w:t>ë</w:t>
      </w:r>
      <w:r w:rsidR="00EC17E9">
        <w:t>si,</w:t>
      </w:r>
      <w:r w:rsidR="0038105D">
        <w:t xml:space="preserve"> andaj</w:t>
      </w:r>
      <w:r w:rsidR="00EC17E9">
        <w:t xml:space="preserve"> </w:t>
      </w:r>
      <w:r w:rsidR="0038105D">
        <w:t>kur merret parasysh se zbatimi i k</w:t>
      </w:r>
      <w:r w:rsidR="00411C92">
        <w:t>ë</w:t>
      </w:r>
      <w:r w:rsidR="0038105D">
        <w:t>tij ligji implikon shum</w:t>
      </w:r>
      <w:r w:rsidR="00411C92">
        <w:t>ë</w:t>
      </w:r>
      <w:r w:rsidR="0038105D">
        <w:t xml:space="preserve"> pal</w:t>
      </w:r>
      <w:r w:rsidR="00411C92">
        <w:t>ë</w:t>
      </w:r>
      <w:r w:rsidR="0038105D">
        <w:t xml:space="preserve"> si brenda vendit ashtu edhe jasht</w:t>
      </w:r>
      <w:r w:rsidR="00411C92">
        <w:t>ë</w:t>
      </w:r>
      <w:r w:rsidR="0038105D">
        <w:t xml:space="preserve">, </w:t>
      </w:r>
      <w:r w:rsidR="00411C92">
        <w:t>ë</w:t>
      </w:r>
      <w:r w:rsidR="0038105D">
        <w:t>sht</w:t>
      </w:r>
      <w:r w:rsidR="00411C92">
        <w:t>ë</w:t>
      </w:r>
      <w:r w:rsidR="0038105D">
        <w:t xml:space="preserve"> par</w:t>
      </w:r>
      <w:r w:rsidR="00411C92">
        <w:t>ë</w:t>
      </w:r>
      <w:r w:rsidR="0038105D">
        <w:t xml:space="preserve"> si e domosdoshme q</w:t>
      </w:r>
      <w:r w:rsidR="00411C92">
        <w:t>ë</w:t>
      </w:r>
      <w:r w:rsidR="0038105D">
        <w:t xml:space="preserve"> qart</w:t>
      </w:r>
      <w:r w:rsidR="00411C92">
        <w:t>ë</w:t>
      </w:r>
      <w:r w:rsidR="0038105D">
        <w:t>simi i dispozitave t</w:t>
      </w:r>
      <w:r w:rsidR="00411C92">
        <w:t>ë</w:t>
      </w:r>
      <w:r w:rsidR="0038105D">
        <w:t xml:space="preserve"> jet</w:t>
      </w:r>
      <w:r w:rsidR="00411C92">
        <w:t>ë</w:t>
      </w:r>
      <w:r w:rsidR="0038105D">
        <w:t xml:space="preserve"> n</w:t>
      </w:r>
      <w:r w:rsidR="00411C92">
        <w:t>ë</w:t>
      </w:r>
      <w:r w:rsidR="0038105D">
        <w:t xml:space="preserve"> nivelit m</w:t>
      </w:r>
      <w:r w:rsidR="00411C92">
        <w:t>ë</w:t>
      </w:r>
      <w:r w:rsidR="0038105D">
        <w:t xml:space="preserve"> t</w:t>
      </w:r>
      <w:r w:rsidR="00411C92">
        <w:t>ë</w:t>
      </w:r>
      <w:r w:rsidR="0038105D">
        <w:t xml:space="preserve"> lart</w:t>
      </w:r>
      <w:r w:rsidR="00411C92">
        <w:t>ë</w:t>
      </w:r>
      <w:r w:rsidR="0038105D">
        <w:t xml:space="preserve"> t</w:t>
      </w:r>
      <w:r w:rsidR="00411C92">
        <w:t>ë</w:t>
      </w:r>
      <w:r w:rsidR="0038105D">
        <w:t xml:space="preserve"> mundsh</w:t>
      </w:r>
      <w:r w:rsidR="00411C92">
        <w:t>ë</w:t>
      </w:r>
      <w:r w:rsidR="0038105D">
        <w:t>m p</w:t>
      </w:r>
      <w:r w:rsidR="00411C92">
        <w:t>ë</w:t>
      </w:r>
      <w:r w:rsidR="0038105D">
        <w:t>r t</w:t>
      </w:r>
      <w:r w:rsidR="00411C92">
        <w:t>ë</w:t>
      </w:r>
      <w:r w:rsidR="0038105D">
        <w:t xml:space="preserve"> mos l</w:t>
      </w:r>
      <w:r w:rsidR="00411C92">
        <w:t>ë</w:t>
      </w:r>
      <w:r w:rsidR="0038105D">
        <w:t>n</w:t>
      </w:r>
      <w:r w:rsidR="00411C92">
        <w:t>ë</w:t>
      </w:r>
      <w:r w:rsidR="0038105D">
        <w:t xml:space="preserve"> hap</w:t>
      </w:r>
      <w:r w:rsidR="00411C92">
        <w:t>ë</w:t>
      </w:r>
      <w:r w:rsidR="0038105D">
        <w:t>sir</w:t>
      </w:r>
      <w:r w:rsidR="00411C92">
        <w:t>ë</w:t>
      </w:r>
      <w:r w:rsidR="0038105D">
        <w:t xml:space="preserve"> p</w:t>
      </w:r>
      <w:r w:rsidR="00411C92">
        <w:t>ë</w:t>
      </w:r>
      <w:r w:rsidR="0038105D">
        <w:t>r keqkuptime apo dykuptim</w:t>
      </w:r>
      <w:r w:rsidR="00411C92">
        <w:t>ë</w:t>
      </w:r>
      <w:r w:rsidR="0038105D">
        <w:t xml:space="preserve">si. Gjithashtu </w:t>
      </w:r>
      <w:r w:rsidR="00411C92">
        <w:t>ë</w:t>
      </w:r>
      <w:r w:rsidR="0038105D">
        <w:t>sht</w:t>
      </w:r>
      <w:r w:rsidR="00411C92">
        <w:t>ë</w:t>
      </w:r>
      <w:r w:rsidR="0038105D">
        <w:t xml:space="preserve"> e r</w:t>
      </w:r>
      <w:r w:rsidR="00411C92">
        <w:t>ë</w:t>
      </w:r>
      <w:r w:rsidR="0038105D">
        <w:t>nd</w:t>
      </w:r>
      <w:r w:rsidR="00411C92">
        <w:t>ë</w:t>
      </w:r>
      <w:r w:rsidR="0038105D">
        <w:t>sishme q</w:t>
      </w:r>
      <w:r w:rsidR="00411C92">
        <w:t>ë</w:t>
      </w:r>
      <w:r w:rsidR="0038105D">
        <w:t xml:space="preserve"> t</w:t>
      </w:r>
      <w:r w:rsidR="00411C92">
        <w:t>ë</w:t>
      </w:r>
      <w:r w:rsidR="0038105D">
        <w:t xml:space="preserve"> </w:t>
      </w:r>
      <w:proofErr w:type="spellStart"/>
      <w:r w:rsidR="0038105D">
        <w:t>transpozohen</w:t>
      </w:r>
      <w:proofErr w:type="spellEnd"/>
      <w:r w:rsidR="0038105D">
        <w:t xml:space="preserve"> disa nene nga Rregulloret e reja t</w:t>
      </w:r>
      <w:r w:rsidR="00411C92">
        <w:t>ë</w:t>
      </w:r>
      <w:r w:rsidR="0038105D">
        <w:t xml:space="preserve"> BE-se t</w:t>
      </w:r>
      <w:r w:rsidR="00411C92">
        <w:t>ë</w:t>
      </w:r>
      <w:r w:rsidR="0038105D">
        <w:t xml:space="preserve"> cilat jan</w:t>
      </w:r>
      <w:r w:rsidR="00411C92">
        <w:t>ë</w:t>
      </w:r>
      <w:r w:rsidR="0038105D">
        <w:t xml:space="preserve"> n</w:t>
      </w:r>
      <w:r w:rsidR="00411C92">
        <w:t>ë</w:t>
      </w:r>
      <w:r w:rsidR="0038105D">
        <w:t xml:space="preserve"> fuqi q</w:t>
      </w:r>
      <w:r w:rsidR="00411C92">
        <w:t>ë</w:t>
      </w:r>
      <w:r w:rsidR="0038105D">
        <w:t xml:space="preserve"> nga viti 2019, Rregullorja 2016/1036</w:t>
      </w:r>
      <w:r w:rsidR="0038105D" w:rsidRPr="0038105D">
        <w:t xml:space="preserve"> për mbrojtjen kundër importeve të </w:t>
      </w:r>
      <w:proofErr w:type="spellStart"/>
      <w:r w:rsidR="0038105D" w:rsidRPr="0038105D">
        <w:t>dampuara</w:t>
      </w:r>
      <w:proofErr w:type="spellEnd"/>
      <w:r w:rsidR="0038105D" w:rsidRPr="0038105D">
        <w:t xml:space="preserve"> nga vendet jo anëtare</w:t>
      </w:r>
      <w:r w:rsidR="0038105D">
        <w:t xml:space="preserve"> dhe Rregullorja 2016/1037 </w:t>
      </w:r>
      <w:r w:rsidR="0038105D" w:rsidRPr="0038105D">
        <w:t>për mbrojtjen kundër produkteve të subvencionuara nga vendet jo anëtare</w:t>
      </w:r>
      <w:r w:rsidR="0038105D">
        <w:t>.</w:t>
      </w:r>
      <w:r w:rsidR="00EC17E9">
        <w:t xml:space="preserve">  </w:t>
      </w:r>
    </w:p>
    <w:p w14:paraId="64990989" w14:textId="77777777" w:rsidR="001F2FC9" w:rsidRDefault="001F2FC9" w:rsidP="00D45337">
      <w:pPr>
        <w:pStyle w:val="Heading1"/>
        <w:spacing w:before="120" w:line="276" w:lineRule="auto"/>
        <w:jc w:val="both"/>
        <w:rPr>
          <w:rFonts w:ascii="Times New Roman" w:hAnsi="Times New Roman" w:cs="Times New Roman"/>
          <w:b/>
          <w:noProof/>
          <w:color w:val="0070C0"/>
          <w:sz w:val="24"/>
          <w:szCs w:val="24"/>
        </w:rPr>
      </w:pPr>
      <w:bookmarkStart w:id="6" w:name="_Toc157691971"/>
      <w:bookmarkStart w:id="7" w:name="_Toc69198221"/>
    </w:p>
    <w:p w14:paraId="5E674929" w14:textId="25F2A611" w:rsidR="00D45337" w:rsidRPr="00D404FF" w:rsidRDefault="00A717EE" w:rsidP="00D45337">
      <w:pPr>
        <w:pStyle w:val="Heading1"/>
        <w:spacing w:before="120" w:line="276" w:lineRule="auto"/>
        <w:jc w:val="both"/>
        <w:rPr>
          <w:rFonts w:ascii="Times New Roman" w:hAnsi="Times New Roman" w:cs="Times New Roman"/>
          <w:b/>
          <w:i/>
          <w:noProof/>
          <w:color w:val="0070C0"/>
          <w:sz w:val="24"/>
          <w:szCs w:val="24"/>
        </w:rPr>
      </w:pPr>
      <w:r>
        <w:rPr>
          <w:rFonts w:ascii="Times New Roman" w:hAnsi="Times New Roman" w:cs="Times New Roman"/>
          <w:b/>
          <w:noProof/>
          <w:color w:val="0070C0"/>
          <w:sz w:val="24"/>
          <w:szCs w:val="24"/>
        </w:rPr>
        <w:t>Tabela 4</w:t>
      </w:r>
      <w:r w:rsidR="00D45337" w:rsidRPr="00541A6F">
        <w:rPr>
          <w:rFonts w:ascii="Times New Roman" w:hAnsi="Times New Roman" w:cs="Times New Roman"/>
          <w:b/>
          <w:noProof/>
          <w:color w:val="0070C0"/>
          <w:sz w:val="24"/>
          <w:szCs w:val="24"/>
        </w:rPr>
        <w:t xml:space="preserve">: </w:t>
      </w:r>
      <w:r w:rsidR="00D45337" w:rsidRPr="00D404FF">
        <w:rPr>
          <w:rFonts w:ascii="Times New Roman" w:hAnsi="Times New Roman" w:cs="Times New Roman"/>
          <w:b/>
          <w:noProof/>
          <w:color w:val="0070C0"/>
          <w:sz w:val="24"/>
          <w:szCs w:val="24"/>
        </w:rPr>
        <w:t>Pasqyrë e palëve të interesuara bazuar në përkufizimin e problemit</w:t>
      </w:r>
      <w:bookmarkEnd w:id="6"/>
    </w:p>
    <w:p w14:paraId="3B6E84B5" w14:textId="77777777" w:rsidR="00D45337" w:rsidRPr="00D404FF" w:rsidRDefault="00D45337" w:rsidP="00D45337">
      <w:pPr>
        <w:rPr>
          <w:noProof/>
        </w:rPr>
      </w:pPr>
    </w:p>
    <w:tbl>
      <w:tblPr>
        <w:tblStyle w:val="TableGrid"/>
        <w:tblW w:w="0" w:type="auto"/>
        <w:tblLook w:val="04A0" w:firstRow="1" w:lastRow="0" w:firstColumn="1" w:lastColumn="0" w:noHBand="0" w:noVBand="1"/>
      </w:tblPr>
      <w:tblGrid>
        <w:gridCol w:w="2291"/>
        <w:gridCol w:w="2225"/>
        <w:gridCol w:w="2208"/>
        <w:gridCol w:w="2292"/>
      </w:tblGrid>
      <w:tr w:rsidR="00D45337" w:rsidRPr="00D404FF" w14:paraId="4560679D" w14:textId="77777777" w:rsidTr="00C76816">
        <w:tc>
          <w:tcPr>
            <w:tcW w:w="2291" w:type="dxa"/>
          </w:tcPr>
          <w:p w14:paraId="19E5F34A" w14:textId="77777777" w:rsidR="00D45337" w:rsidRPr="00D404FF" w:rsidRDefault="00D45337" w:rsidP="00C76816">
            <w:pPr>
              <w:rPr>
                <w:b/>
                <w:noProof/>
              </w:rPr>
            </w:pPr>
            <w:r w:rsidRPr="00D404FF">
              <w:rPr>
                <w:b/>
                <w:noProof/>
              </w:rPr>
              <w:t>Emri i palëve me</w:t>
            </w:r>
          </w:p>
          <w:p w14:paraId="25B32810" w14:textId="77777777" w:rsidR="00D45337" w:rsidRPr="00D404FF" w:rsidRDefault="00D45337" w:rsidP="00C76816">
            <w:pPr>
              <w:rPr>
                <w:b/>
                <w:noProof/>
              </w:rPr>
            </w:pPr>
            <w:r w:rsidRPr="00D404FF">
              <w:rPr>
                <w:b/>
                <w:noProof/>
              </w:rPr>
              <w:t>interes</w:t>
            </w:r>
          </w:p>
        </w:tc>
        <w:tc>
          <w:tcPr>
            <w:tcW w:w="2225" w:type="dxa"/>
          </w:tcPr>
          <w:p w14:paraId="6514C0E8" w14:textId="77777777" w:rsidR="00D45337" w:rsidRPr="00D404FF" w:rsidRDefault="00D45337" w:rsidP="00C76816">
            <w:pPr>
              <w:rPr>
                <w:b/>
                <w:noProof/>
              </w:rPr>
            </w:pPr>
            <w:r w:rsidRPr="00D404FF">
              <w:rPr>
                <w:b/>
                <w:noProof/>
              </w:rPr>
              <w:t>Shkaku (et) me të cilat lidhen palët e interesit</w:t>
            </w:r>
          </w:p>
        </w:tc>
        <w:tc>
          <w:tcPr>
            <w:tcW w:w="2208" w:type="dxa"/>
          </w:tcPr>
          <w:p w14:paraId="68396EFA" w14:textId="77777777" w:rsidR="00D45337" w:rsidRPr="00D404FF" w:rsidRDefault="00D45337" w:rsidP="00C76816">
            <w:pPr>
              <w:rPr>
                <w:b/>
                <w:noProof/>
              </w:rPr>
            </w:pPr>
            <w:r w:rsidRPr="00D404FF">
              <w:rPr>
                <w:b/>
                <w:noProof/>
              </w:rPr>
              <w:t>Efekti (et) me të cilat lidhen palët me interes</w:t>
            </w:r>
          </w:p>
        </w:tc>
        <w:tc>
          <w:tcPr>
            <w:tcW w:w="2292" w:type="dxa"/>
          </w:tcPr>
          <w:p w14:paraId="7E635FD5" w14:textId="77777777" w:rsidR="00D45337" w:rsidRPr="00D404FF" w:rsidRDefault="00D45337" w:rsidP="00C76816">
            <w:pPr>
              <w:rPr>
                <w:b/>
                <w:noProof/>
              </w:rPr>
            </w:pPr>
            <w:r w:rsidRPr="00D404FF">
              <w:rPr>
                <w:b/>
                <w:noProof/>
              </w:rPr>
              <w:t>Mënyra në të cilën palët e interesuara lidhen me këto shkaqe ose pasoja</w:t>
            </w:r>
          </w:p>
        </w:tc>
      </w:tr>
      <w:tr w:rsidR="00D45337" w:rsidRPr="00D404FF" w14:paraId="27392163" w14:textId="77777777" w:rsidTr="00C76816">
        <w:tc>
          <w:tcPr>
            <w:tcW w:w="2291" w:type="dxa"/>
          </w:tcPr>
          <w:p w14:paraId="6095D7C2" w14:textId="77777777" w:rsidR="00D45337" w:rsidRDefault="00B00796" w:rsidP="00C76816">
            <w:pPr>
              <w:rPr>
                <w:noProof/>
              </w:rPr>
            </w:pPr>
            <w:r>
              <w:rPr>
                <w:noProof/>
              </w:rPr>
              <w:t>Kompanitë prodhuese të Kosovës</w:t>
            </w:r>
          </w:p>
          <w:p w14:paraId="1E73C7FB" w14:textId="39964FEA" w:rsidR="00B00796" w:rsidRPr="00D404FF" w:rsidRDefault="00B00796" w:rsidP="00C76816">
            <w:pPr>
              <w:rPr>
                <w:noProof/>
              </w:rPr>
            </w:pPr>
            <w:r>
              <w:rPr>
                <w:noProof/>
              </w:rPr>
              <w:t xml:space="preserve">Shoqatat prodhuese </w:t>
            </w:r>
          </w:p>
        </w:tc>
        <w:tc>
          <w:tcPr>
            <w:tcW w:w="2225" w:type="dxa"/>
          </w:tcPr>
          <w:p w14:paraId="5ACBA8C5" w14:textId="55171B4F" w:rsidR="00D45337" w:rsidRPr="00D404FF" w:rsidRDefault="00B00796" w:rsidP="00C76816">
            <w:pPr>
              <w:rPr>
                <w:noProof/>
              </w:rPr>
            </w:pPr>
            <w:r>
              <w:rPr>
                <w:noProof/>
              </w:rPr>
              <w:t>Produktet e dampuara ne tregun e Kosoves</w:t>
            </w:r>
          </w:p>
        </w:tc>
        <w:tc>
          <w:tcPr>
            <w:tcW w:w="2208" w:type="dxa"/>
          </w:tcPr>
          <w:p w14:paraId="52167D6F" w14:textId="09C11064" w:rsidR="00D45337" w:rsidRPr="00D404FF" w:rsidRDefault="00D56091" w:rsidP="00C76816">
            <w:pPr>
              <w:rPr>
                <w:noProof/>
              </w:rPr>
            </w:pPr>
            <w:r>
              <w:rPr>
                <w:noProof/>
              </w:rPr>
              <w:t>Tregu i disbalansuar dhe çmime të dampuara</w:t>
            </w:r>
          </w:p>
        </w:tc>
        <w:tc>
          <w:tcPr>
            <w:tcW w:w="2292" w:type="dxa"/>
          </w:tcPr>
          <w:p w14:paraId="43D6EC6E" w14:textId="25DE21FF" w:rsidR="00D45337" w:rsidRPr="00D404FF" w:rsidRDefault="00295814" w:rsidP="00D45337">
            <w:pPr>
              <w:jc w:val="both"/>
              <w:rPr>
                <w:noProof/>
              </w:rPr>
            </w:pPr>
            <w:r>
              <w:rPr>
                <w:noProof/>
              </w:rPr>
              <w:t>Per shkak</w:t>
            </w:r>
            <w:r w:rsidR="00D56091">
              <w:rPr>
                <w:noProof/>
              </w:rPr>
              <w:t xml:space="preserve"> te importeve te produkteve të dampuara kompanitë prodhuese demtohen nga çrregullimi i çmimeve të imponuara nga importet</w:t>
            </w:r>
          </w:p>
        </w:tc>
      </w:tr>
      <w:tr w:rsidR="00B00796" w:rsidRPr="00D404FF" w14:paraId="5587D4D3" w14:textId="77777777" w:rsidTr="00C76816">
        <w:tc>
          <w:tcPr>
            <w:tcW w:w="2291" w:type="dxa"/>
          </w:tcPr>
          <w:p w14:paraId="03A3F584" w14:textId="31A24BE8" w:rsidR="00B00796" w:rsidRDefault="00B00796" w:rsidP="00B00796">
            <w:pPr>
              <w:rPr>
                <w:noProof/>
              </w:rPr>
            </w:pPr>
            <w:r w:rsidRPr="00B00796">
              <w:rPr>
                <w:noProof/>
              </w:rPr>
              <w:t>Ministria e Industrisë, Ndërmarrësisë dhe Tregtisë është kundërbalancuese</w:t>
            </w:r>
          </w:p>
        </w:tc>
        <w:tc>
          <w:tcPr>
            <w:tcW w:w="2225" w:type="dxa"/>
          </w:tcPr>
          <w:p w14:paraId="440E68DF" w14:textId="5D174F2C" w:rsidR="00B00796" w:rsidRPr="00D404FF" w:rsidRDefault="00D56091" w:rsidP="00D56091">
            <w:pPr>
              <w:rPr>
                <w:noProof/>
              </w:rPr>
            </w:pPr>
            <w:r w:rsidRPr="00D56091">
              <w:rPr>
                <w:noProof/>
              </w:rPr>
              <w:t>Produktet e dampuara ne tregun e Kosoves</w:t>
            </w:r>
            <w:r w:rsidRPr="00D56091">
              <w:rPr>
                <w:noProof/>
              </w:rPr>
              <w:tab/>
            </w:r>
          </w:p>
        </w:tc>
        <w:tc>
          <w:tcPr>
            <w:tcW w:w="2208" w:type="dxa"/>
          </w:tcPr>
          <w:p w14:paraId="77DA1B62" w14:textId="62452CEA" w:rsidR="00B00796" w:rsidRPr="00D404FF" w:rsidRDefault="00D56091" w:rsidP="00C76816">
            <w:pPr>
              <w:rPr>
                <w:noProof/>
              </w:rPr>
            </w:pPr>
            <w:r w:rsidRPr="00D56091">
              <w:rPr>
                <w:noProof/>
              </w:rPr>
              <w:t>Tregu i disbalansuar dhe çmime të dampuara</w:t>
            </w:r>
          </w:p>
        </w:tc>
        <w:tc>
          <w:tcPr>
            <w:tcW w:w="2292" w:type="dxa"/>
          </w:tcPr>
          <w:p w14:paraId="05597FC8" w14:textId="26181FEC" w:rsidR="00B00796" w:rsidRPr="00D404FF" w:rsidRDefault="00B00796" w:rsidP="00D45337">
            <w:pPr>
              <w:jc w:val="both"/>
              <w:rPr>
                <w:noProof/>
              </w:rPr>
            </w:pPr>
            <w:r w:rsidRPr="00B00796">
              <w:rPr>
                <w:noProof/>
              </w:rPr>
              <w:t>përgjegjëse për hartimin e legjislacionit dhe politikave në fushën e masave antidamping dhe masave</w:t>
            </w:r>
          </w:p>
        </w:tc>
      </w:tr>
      <w:tr w:rsidR="00D56091" w:rsidRPr="00D404FF" w14:paraId="0FB05855" w14:textId="77777777" w:rsidTr="00C76816">
        <w:tc>
          <w:tcPr>
            <w:tcW w:w="2291" w:type="dxa"/>
          </w:tcPr>
          <w:p w14:paraId="55C29C3E" w14:textId="280DF445" w:rsidR="00D56091" w:rsidRPr="00D404FF" w:rsidRDefault="00D56091" w:rsidP="00D56091">
            <w:pPr>
              <w:rPr>
                <w:noProof/>
              </w:rPr>
            </w:pPr>
            <w:r w:rsidRPr="00D404FF">
              <w:rPr>
                <w:noProof/>
              </w:rPr>
              <w:t xml:space="preserve">Ministria e </w:t>
            </w:r>
            <w:r>
              <w:rPr>
                <w:noProof/>
              </w:rPr>
              <w:t xml:space="preserve">Ekonomisë </w:t>
            </w:r>
          </w:p>
        </w:tc>
        <w:tc>
          <w:tcPr>
            <w:tcW w:w="2225" w:type="dxa"/>
          </w:tcPr>
          <w:p w14:paraId="25F0E917" w14:textId="19A94067" w:rsidR="00D56091" w:rsidRPr="00D404FF" w:rsidRDefault="00D56091" w:rsidP="00D56091">
            <w:pPr>
              <w:rPr>
                <w:noProof/>
              </w:rPr>
            </w:pPr>
            <w:r>
              <w:rPr>
                <w:noProof/>
              </w:rPr>
              <w:t>Produktet e dampuara ne tregun e Kosoves</w:t>
            </w:r>
          </w:p>
        </w:tc>
        <w:tc>
          <w:tcPr>
            <w:tcW w:w="2208" w:type="dxa"/>
          </w:tcPr>
          <w:p w14:paraId="262AE6C8" w14:textId="7DFDE12F" w:rsidR="00D56091" w:rsidRPr="00D404FF" w:rsidRDefault="00D56091" w:rsidP="00D56091">
            <w:pPr>
              <w:jc w:val="center"/>
              <w:rPr>
                <w:noProof/>
              </w:rPr>
            </w:pPr>
            <w:r>
              <w:rPr>
                <w:noProof/>
              </w:rPr>
              <w:t>Tregu i disbalansuar dhe çmime të dampuara</w:t>
            </w:r>
          </w:p>
        </w:tc>
        <w:tc>
          <w:tcPr>
            <w:tcW w:w="2292" w:type="dxa"/>
          </w:tcPr>
          <w:p w14:paraId="56E44ED0" w14:textId="674D0301" w:rsidR="00D56091" w:rsidRPr="00D404FF" w:rsidRDefault="00D56091" w:rsidP="00D56091">
            <w:pPr>
              <w:jc w:val="both"/>
              <w:rPr>
                <w:noProof/>
              </w:rPr>
            </w:pPr>
            <w:r w:rsidRPr="00D404FF">
              <w:rPr>
                <w:noProof/>
              </w:rPr>
              <w:t xml:space="preserve">Ministria e </w:t>
            </w:r>
            <w:r>
              <w:rPr>
                <w:noProof/>
              </w:rPr>
              <w:t xml:space="preserve">Ekonomisë përfaqësohet në komisionin për vlerësimin e detyrimeve të veçanta në importe </w:t>
            </w:r>
            <w:r w:rsidRPr="00D404FF">
              <w:rPr>
                <w:noProof/>
              </w:rPr>
              <w:t xml:space="preserve"> </w:t>
            </w:r>
          </w:p>
        </w:tc>
      </w:tr>
      <w:tr w:rsidR="00D56091" w:rsidRPr="00D404FF" w14:paraId="587FDEF8" w14:textId="77777777" w:rsidTr="00C76816">
        <w:tc>
          <w:tcPr>
            <w:tcW w:w="2291" w:type="dxa"/>
          </w:tcPr>
          <w:p w14:paraId="7B397564" w14:textId="77777777" w:rsidR="00D56091" w:rsidRPr="00D404FF" w:rsidRDefault="00D56091" w:rsidP="00D56091">
            <w:pPr>
              <w:rPr>
                <w:noProof/>
              </w:rPr>
            </w:pPr>
          </w:p>
          <w:p w14:paraId="6659663A" w14:textId="7DE3D39B" w:rsidR="00D56091" w:rsidRPr="00D404FF" w:rsidRDefault="00D56091" w:rsidP="00D56091">
            <w:pPr>
              <w:rPr>
                <w:noProof/>
              </w:rPr>
            </w:pPr>
            <w:r w:rsidRPr="00841E5C">
              <w:rPr>
                <w:noProof/>
              </w:rPr>
              <w:t>Ministria e Bujqësisë, Pylltarisë dhe Zhvillimit Rural;</w:t>
            </w:r>
          </w:p>
        </w:tc>
        <w:tc>
          <w:tcPr>
            <w:tcW w:w="2225" w:type="dxa"/>
          </w:tcPr>
          <w:p w14:paraId="0EB3A44D" w14:textId="33DFC9A0" w:rsidR="00D56091" w:rsidRPr="00D404FF" w:rsidRDefault="00D56091" w:rsidP="00D56091">
            <w:pPr>
              <w:rPr>
                <w:noProof/>
              </w:rPr>
            </w:pPr>
            <w:r>
              <w:rPr>
                <w:noProof/>
              </w:rPr>
              <w:t>Produktet e dampuara ne tregun e Kosoves</w:t>
            </w:r>
          </w:p>
        </w:tc>
        <w:tc>
          <w:tcPr>
            <w:tcW w:w="2208" w:type="dxa"/>
          </w:tcPr>
          <w:p w14:paraId="1CB2E0A9" w14:textId="2B46DA64" w:rsidR="00D56091" w:rsidRPr="00D404FF" w:rsidRDefault="00D56091" w:rsidP="00D56091">
            <w:pPr>
              <w:rPr>
                <w:noProof/>
              </w:rPr>
            </w:pPr>
            <w:r>
              <w:rPr>
                <w:noProof/>
              </w:rPr>
              <w:t>Tregu i disbalansuar dhe çmime të dampuara</w:t>
            </w:r>
          </w:p>
        </w:tc>
        <w:tc>
          <w:tcPr>
            <w:tcW w:w="2292" w:type="dxa"/>
          </w:tcPr>
          <w:p w14:paraId="15618033" w14:textId="4A9F920C" w:rsidR="00D56091" w:rsidRPr="00D404FF" w:rsidRDefault="00D56091" w:rsidP="00D56091">
            <w:pPr>
              <w:rPr>
                <w:noProof/>
              </w:rPr>
            </w:pPr>
            <w:r w:rsidRPr="00841E5C">
              <w:rPr>
                <w:noProof/>
              </w:rPr>
              <w:t>Ministria e Bujqësisë, Pylltarisë dhe Zhvillimit Rural</w:t>
            </w:r>
            <w:r>
              <w:rPr>
                <w:noProof/>
              </w:rPr>
              <w:t xml:space="preserve"> </w:t>
            </w:r>
            <w:r w:rsidRPr="00841E5C">
              <w:rPr>
                <w:noProof/>
              </w:rPr>
              <w:t xml:space="preserve">përfaqësohet në komisionin për vlerësimin e detyrimeve të veçanta në importe  </w:t>
            </w:r>
          </w:p>
        </w:tc>
      </w:tr>
      <w:tr w:rsidR="00D56091" w:rsidRPr="00D404FF" w14:paraId="59252899" w14:textId="77777777" w:rsidTr="00C76816">
        <w:tc>
          <w:tcPr>
            <w:tcW w:w="2291" w:type="dxa"/>
          </w:tcPr>
          <w:p w14:paraId="3C99C402" w14:textId="77777777" w:rsidR="00D56091" w:rsidRPr="00D404FF" w:rsidRDefault="00D56091" w:rsidP="00D56091">
            <w:pPr>
              <w:rPr>
                <w:noProof/>
              </w:rPr>
            </w:pPr>
          </w:p>
          <w:p w14:paraId="72015A7D" w14:textId="7392A879" w:rsidR="00D56091" w:rsidRPr="00D404FF" w:rsidRDefault="00D56091" w:rsidP="00D56091">
            <w:pPr>
              <w:rPr>
                <w:noProof/>
              </w:rPr>
            </w:pPr>
            <w:r>
              <w:rPr>
                <w:noProof/>
              </w:rPr>
              <w:t>Ministria e Energjisë dhe Minierave</w:t>
            </w:r>
          </w:p>
        </w:tc>
        <w:tc>
          <w:tcPr>
            <w:tcW w:w="2225" w:type="dxa"/>
          </w:tcPr>
          <w:p w14:paraId="38F95E7A" w14:textId="3A52BD7A" w:rsidR="00D56091" w:rsidRPr="00D404FF" w:rsidRDefault="00D56091" w:rsidP="00D56091">
            <w:pPr>
              <w:rPr>
                <w:noProof/>
              </w:rPr>
            </w:pPr>
            <w:r>
              <w:rPr>
                <w:noProof/>
              </w:rPr>
              <w:t>Produktet e dampuara ne tregun e Kosoves</w:t>
            </w:r>
          </w:p>
        </w:tc>
        <w:tc>
          <w:tcPr>
            <w:tcW w:w="2208" w:type="dxa"/>
          </w:tcPr>
          <w:p w14:paraId="51AA4BE8" w14:textId="133BB4D5" w:rsidR="00D56091" w:rsidRPr="00D404FF" w:rsidRDefault="00D56091" w:rsidP="00D56091">
            <w:pPr>
              <w:rPr>
                <w:noProof/>
              </w:rPr>
            </w:pPr>
            <w:r>
              <w:rPr>
                <w:noProof/>
              </w:rPr>
              <w:t>Tregu i disbalansuar dhe çmime të dampuara</w:t>
            </w:r>
          </w:p>
        </w:tc>
        <w:tc>
          <w:tcPr>
            <w:tcW w:w="2292" w:type="dxa"/>
          </w:tcPr>
          <w:p w14:paraId="0D2ED81A" w14:textId="122C0BD6" w:rsidR="00D56091" w:rsidRPr="00D404FF" w:rsidRDefault="00D56091" w:rsidP="00D56091">
            <w:pPr>
              <w:rPr>
                <w:noProof/>
              </w:rPr>
            </w:pPr>
            <w:r w:rsidRPr="00841E5C">
              <w:rPr>
                <w:noProof/>
              </w:rPr>
              <w:t>Ministria e Energjisë dhe Minierave</w:t>
            </w:r>
            <w:r>
              <w:rPr>
                <w:noProof/>
              </w:rPr>
              <w:t xml:space="preserve"> </w:t>
            </w:r>
            <w:r w:rsidRPr="00841E5C">
              <w:rPr>
                <w:noProof/>
              </w:rPr>
              <w:t xml:space="preserve">përfaqësohet në komisionin për vlerësimin e detyrimeve të veçanta në importe  </w:t>
            </w:r>
          </w:p>
        </w:tc>
      </w:tr>
      <w:tr w:rsidR="00D56091" w:rsidRPr="00D404FF" w14:paraId="65A31E51" w14:textId="77777777" w:rsidTr="00C76816">
        <w:tc>
          <w:tcPr>
            <w:tcW w:w="2291" w:type="dxa"/>
          </w:tcPr>
          <w:p w14:paraId="0193568B" w14:textId="77777777" w:rsidR="00D56091" w:rsidRPr="00D404FF" w:rsidRDefault="00D56091" w:rsidP="00D56091">
            <w:pPr>
              <w:rPr>
                <w:noProof/>
              </w:rPr>
            </w:pPr>
          </w:p>
          <w:p w14:paraId="0C6BC7A0" w14:textId="051760E7" w:rsidR="00D56091" w:rsidRPr="00D404FF" w:rsidRDefault="00D56091" w:rsidP="00D56091">
            <w:pPr>
              <w:rPr>
                <w:noProof/>
              </w:rPr>
            </w:pPr>
            <w:r>
              <w:rPr>
                <w:noProof/>
              </w:rPr>
              <w:t>Ministria e Punëve të Jashtme</w:t>
            </w:r>
          </w:p>
        </w:tc>
        <w:tc>
          <w:tcPr>
            <w:tcW w:w="2225" w:type="dxa"/>
          </w:tcPr>
          <w:p w14:paraId="1DD5F04A" w14:textId="542E429E" w:rsidR="00D56091" w:rsidRPr="00D404FF" w:rsidRDefault="00D56091" w:rsidP="00D56091">
            <w:pPr>
              <w:rPr>
                <w:noProof/>
              </w:rPr>
            </w:pPr>
            <w:r>
              <w:rPr>
                <w:noProof/>
              </w:rPr>
              <w:t>Produktet e dampuara ne tregun e Kosoves</w:t>
            </w:r>
          </w:p>
        </w:tc>
        <w:tc>
          <w:tcPr>
            <w:tcW w:w="2208" w:type="dxa"/>
          </w:tcPr>
          <w:p w14:paraId="336FF77A" w14:textId="0DBE7D32" w:rsidR="00D56091" w:rsidRPr="00D404FF" w:rsidRDefault="00D56091" w:rsidP="00D56091">
            <w:pPr>
              <w:rPr>
                <w:noProof/>
              </w:rPr>
            </w:pPr>
            <w:r>
              <w:rPr>
                <w:noProof/>
              </w:rPr>
              <w:t>Tregu i disbalansuar dhe çmime të dampuara</w:t>
            </w:r>
          </w:p>
        </w:tc>
        <w:tc>
          <w:tcPr>
            <w:tcW w:w="2292" w:type="dxa"/>
          </w:tcPr>
          <w:p w14:paraId="6975C212" w14:textId="3BA0061D" w:rsidR="00D56091" w:rsidRPr="00D404FF" w:rsidRDefault="00D56091" w:rsidP="00D56091">
            <w:pPr>
              <w:rPr>
                <w:noProof/>
              </w:rPr>
            </w:pPr>
            <w:r>
              <w:rPr>
                <w:noProof/>
              </w:rPr>
              <w:t xml:space="preserve"> Ministria e Punëve të Jashtme </w:t>
            </w:r>
            <w:r w:rsidRPr="009B0587">
              <w:rPr>
                <w:noProof/>
              </w:rPr>
              <w:t xml:space="preserve">përfaqësohet në komisionin për vlerësimin e detyrimeve të veçanta në importe  </w:t>
            </w:r>
          </w:p>
        </w:tc>
      </w:tr>
      <w:tr w:rsidR="00D56091" w:rsidRPr="00D404FF" w14:paraId="52E3FAE1" w14:textId="77777777" w:rsidTr="00C76816">
        <w:tc>
          <w:tcPr>
            <w:tcW w:w="2291" w:type="dxa"/>
          </w:tcPr>
          <w:p w14:paraId="1AD2823A" w14:textId="32ABCE06" w:rsidR="00D56091" w:rsidRPr="00D404FF" w:rsidRDefault="00D56091" w:rsidP="00D56091">
            <w:pPr>
              <w:rPr>
                <w:noProof/>
              </w:rPr>
            </w:pPr>
            <w:r>
              <w:rPr>
                <w:noProof/>
              </w:rPr>
              <w:t>Ministria e Punës dhe Mirëqenies Sociale</w:t>
            </w:r>
          </w:p>
        </w:tc>
        <w:tc>
          <w:tcPr>
            <w:tcW w:w="2225" w:type="dxa"/>
          </w:tcPr>
          <w:p w14:paraId="18DAB2B4" w14:textId="16BEF72F" w:rsidR="00D56091" w:rsidRPr="00D404FF" w:rsidRDefault="00D56091" w:rsidP="00D56091">
            <w:pPr>
              <w:rPr>
                <w:noProof/>
              </w:rPr>
            </w:pPr>
            <w:r>
              <w:rPr>
                <w:noProof/>
              </w:rPr>
              <w:t>Produktet e dampuara ne tregun e Kosoves</w:t>
            </w:r>
          </w:p>
        </w:tc>
        <w:tc>
          <w:tcPr>
            <w:tcW w:w="2208" w:type="dxa"/>
          </w:tcPr>
          <w:p w14:paraId="19066FBF" w14:textId="371D90A1" w:rsidR="00D56091" w:rsidRPr="00D404FF" w:rsidRDefault="00D56091" w:rsidP="00D56091">
            <w:pPr>
              <w:rPr>
                <w:noProof/>
              </w:rPr>
            </w:pPr>
            <w:r>
              <w:rPr>
                <w:noProof/>
              </w:rPr>
              <w:t>Tregu i disbalansuar dhe çmime të dampuara</w:t>
            </w:r>
          </w:p>
        </w:tc>
        <w:tc>
          <w:tcPr>
            <w:tcW w:w="2292" w:type="dxa"/>
          </w:tcPr>
          <w:p w14:paraId="26F9A963" w14:textId="50C8A8BD" w:rsidR="00D56091" w:rsidRDefault="00D56091" w:rsidP="00D56091">
            <w:pPr>
              <w:rPr>
                <w:noProof/>
              </w:rPr>
            </w:pPr>
            <w:r w:rsidRPr="009B0587">
              <w:rPr>
                <w:noProof/>
              </w:rPr>
              <w:t>Ministria e Punës dhe Mirëqenies Sociale</w:t>
            </w:r>
            <w:r>
              <w:rPr>
                <w:noProof/>
              </w:rPr>
              <w:t xml:space="preserve"> </w:t>
            </w:r>
            <w:r w:rsidRPr="009B0587">
              <w:rPr>
                <w:noProof/>
              </w:rPr>
              <w:t xml:space="preserve">përfaqësohet në komisionin për vlerësimin e detyrimeve të veçanta në importe  </w:t>
            </w:r>
          </w:p>
        </w:tc>
      </w:tr>
      <w:tr w:rsidR="00D56091" w:rsidRPr="00D404FF" w14:paraId="7C8600AB" w14:textId="77777777" w:rsidTr="00C76816">
        <w:tc>
          <w:tcPr>
            <w:tcW w:w="2291" w:type="dxa"/>
          </w:tcPr>
          <w:p w14:paraId="1FBFE04C" w14:textId="2426FD4B" w:rsidR="00D56091" w:rsidRDefault="00D56091" w:rsidP="00D56091">
            <w:pPr>
              <w:rPr>
                <w:noProof/>
              </w:rPr>
            </w:pPr>
            <w:r>
              <w:rPr>
                <w:noProof/>
              </w:rPr>
              <w:t>Dogana e Kosovës</w:t>
            </w:r>
          </w:p>
        </w:tc>
        <w:tc>
          <w:tcPr>
            <w:tcW w:w="2225" w:type="dxa"/>
          </w:tcPr>
          <w:p w14:paraId="1F0C7D9B" w14:textId="22C8E5E8" w:rsidR="00D56091" w:rsidRPr="00D404FF" w:rsidRDefault="00D56091" w:rsidP="00D56091">
            <w:pPr>
              <w:rPr>
                <w:noProof/>
              </w:rPr>
            </w:pPr>
            <w:r>
              <w:rPr>
                <w:noProof/>
              </w:rPr>
              <w:t>Produktet e dampuara ne tregun e Kosoves</w:t>
            </w:r>
          </w:p>
        </w:tc>
        <w:tc>
          <w:tcPr>
            <w:tcW w:w="2208" w:type="dxa"/>
          </w:tcPr>
          <w:p w14:paraId="3D3B6D6A" w14:textId="1028C04A" w:rsidR="00D56091" w:rsidRPr="00D404FF" w:rsidRDefault="00D56091" w:rsidP="00D56091">
            <w:pPr>
              <w:rPr>
                <w:noProof/>
              </w:rPr>
            </w:pPr>
            <w:r>
              <w:rPr>
                <w:noProof/>
              </w:rPr>
              <w:t>Tregu i disbalansuar dhe çmime të dampuara</w:t>
            </w:r>
          </w:p>
        </w:tc>
        <w:tc>
          <w:tcPr>
            <w:tcW w:w="2292" w:type="dxa"/>
          </w:tcPr>
          <w:p w14:paraId="2BE147A3" w14:textId="6AEFB8F3" w:rsidR="00D56091" w:rsidRDefault="00D56091" w:rsidP="00D56091">
            <w:pPr>
              <w:rPr>
                <w:noProof/>
              </w:rPr>
            </w:pPr>
            <w:r>
              <w:rPr>
                <w:noProof/>
              </w:rPr>
              <w:t xml:space="preserve">Dogana e Kosovës </w:t>
            </w:r>
            <w:r w:rsidRPr="009B0587">
              <w:rPr>
                <w:noProof/>
              </w:rPr>
              <w:t xml:space="preserve">përfaqësohet në komisionin për vlerësimin e detyrimeve të veçanta në importe  </w:t>
            </w:r>
          </w:p>
        </w:tc>
      </w:tr>
    </w:tbl>
    <w:p w14:paraId="7C00A2DE" w14:textId="5A954BD3" w:rsidR="00F56C86" w:rsidRDefault="00F56C86" w:rsidP="00FC649E">
      <w:pPr>
        <w:pStyle w:val="Heading1"/>
        <w:spacing w:before="120" w:line="276" w:lineRule="auto"/>
        <w:rPr>
          <w:rFonts w:ascii="Times New Roman" w:hAnsi="Times New Roman"/>
          <w:b/>
        </w:rPr>
      </w:pPr>
    </w:p>
    <w:p w14:paraId="2C8AC26F" w14:textId="626234CA" w:rsidR="00F56C86" w:rsidRDefault="00F56C86" w:rsidP="00F56C86"/>
    <w:p w14:paraId="6C900744" w14:textId="77777777" w:rsidR="00F56C86" w:rsidRPr="00F56C86" w:rsidRDefault="00F56C86" w:rsidP="00F56C86"/>
    <w:p w14:paraId="71E9DD0C" w14:textId="77777777" w:rsidR="00F56C86" w:rsidRDefault="00F56C86" w:rsidP="00FC649E">
      <w:pPr>
        <w:pStyle w:val="Heading1"/>
        <w:spacing w:before="120" w:line="276" w:lineRule="auto"/>
        <w:rPr>
          <w:rFonts w:ascii="Times New Roman" w:hAnsi="Times New Roman"/>
          <w:b/>
        </w:rPr>
      </w:pPr>
    </w:p>
    <w:p w14:paraId="6C5F939F" w14:textId="77777777" w:rsidR="00F56C86" w:rsidRDefault="00F56C86" w:rsidP="00FC649E">
      <w:pPr>
        <w:pStyle w:val="Heading1"/>
        <w:spacing w:before="120" w:line="276" w:lineRule="auto"/>
        <w:rPr>
          <w:rFonts w:ascii="Times New Roman" w:hAnsi="Times New Roman"/>
          <w:b/>
        </w:rPr>
      </w:pPr>
    </w:p>
    <w:p w14:paraId="09559B35" w14:textId="77777777" w:rsidR="00F56C86" w:rsidRDefault="00F56C86" w:rsidP="00FC649E">
      <w:pPr>
        <w:pStyle w:val="Heading1"/>
        <w:spacing w:before="120" w:line="276" w:lineRule="auto"/>
        <w:rPr>
          <w:rFonts w:ascii="Times New Roman" w:hAnsi="Times New Roman"/>
          <w:b/>
        </w:rPr>
      </w:pPr>
    </w:p>
    <w:p w14:paraId="1309C144" w14:textId="77777777" w:rsidR="00F56C86" w:rsidRDefault="00F56C86" w:rsidP="00FC649E">
      <w:pPr>
        <w:pStyle w:val="Heading1"/>
        <w:spacing w:before="120" w:line="276" w:lineRule="auto"/>
        <w:rPr>
          <w:rFonts w:ascii="Times New Roman" w:hAnsi="Times New Roman"/>
          <w:b/>
        </w:rPr>
      </w:pPr>
    </w:p>
    <w:p w14:paraId="2BCAE361" w14:textId="77777777" w:rsidR="00F56C86" w:rsidRDefault="00F56C86" w:rsidP="00FC649E">
      <w:pPr>
        <w:pStyle w:val="Heading1"/>
        <w:spacing w:before="120" w:line="276" w:lineRule="auto"/>
        <w:rPr>
          <w:rFonts w:ascii="Times New Roman" w:hAnsi="Times New Roman"/>
          <w:b/>
        </w:rPr>
      </w:pPr>
    </w:p>
    <w:p w14:paraId="43EB469D" w14:textId="77777777" w:rsidR="00F56C86" w:rsidRDefault="00F56C86" w:rsidP="00FC649E">
      <w:pPr>
        <w:pStyle w:val="Heading1"/>
        <w:spacing w:before="120" w:line="276" w:lineRule="auto"/>
        <w:rPr>
          <w:rFonts w:ascii="Times New Roman" w:hAnsi="Times New Roman"/>
          <w:b/>
        </w:rPr>
      </w:pPr>
    </w:p>
    <w:p w14:paraId="4B76C032" w14:textId="508AAE9D" w:rsidR="00F56C86" w:rsidRDefault="00F56C86" w:rsidP="00FC649E">
      <w:pPr>
        <w:pStyle w:val="Heading1"/>
        <w:spacing w:before="120" w:line="276" w:lineRule="auto"/>
        <w:rPr>
          <w:rFonts w:ascii="Times New Roman" w:hAnsi="Times New Roman"/>
          <w:b/>
        </w:rPr>
      </w:pPr>
    </w:p>
    <w:p w14:paraId="7359972C" w14:textId="15A88F52" w:rsidR="00F56C86" w:rsidRDefault="00F56C86" w:rsidP="00F56C86"/>
    <w:p w14:paraId="7E8EEF10" w14:textId="487EE0B9" w:rsidR="00F56C86" w:rsidRDefault="00F56C86" w:rsidP="00F56C86"/>
    <w:p w14:paraId="46800135" w14:textId="77777777" w:rsidR="00F56C86" w:rsidRPr="00F56C86" w:rsidRDefault="00F56C86" w:rsidP="00F56C86"/>
    <w:p w14:paraId="0926E1B8" w14:textId="77777777" w:rsidR="00F56C86" w:rsidRDefault="00F56C86" w:rsidP="00FC649E">
      <w:pPr>
        <w:pStyle w:val="Heading1"/>
        <w:spacing w:before="120" w:line="276" w:lineRule="auto"/>
        <w:rPr>
          <w:rFonts w:ascii="Times New Roman" w:hAnsi="Times New Roman"/>
          <w:b/>
        </w:rPr>
      </w:pPr>
    </w:p>
    <w:p w14:paraId="612D6E6B" w14:textId="5F10234B" w:rsidR="00FC649E" w:rsidRPr="00937662" w:rsidRDefault="00FC649E" w:rsidP="00FC649E">
      <w:pPr>
        <w:pStyle w:val="Heading1"/>
        <w:spacing w:before="120" w:line="276" w:lineRule="auto"/>
        <w:rPr>
          <w:rFonts w:ascii="Times New Roman" w:hAnsi="Times New Roman" w:cs="Times New Roman"/>
          <w:b/>
          <w:bCs/>
        </w:rPr>
      </w:pPr>
      <w:r w:rsidRPr="00937662">
        <w:rPr>
          <w:rFonts w:ascii="Times New Roman" w:hAnsi="Times New Roman"/>
          <w:b/>
        </w:rPr>
        <w:t>Kapitulli 2: Objektivat</w:t>
      </w:r>
      <w:bookmarkEnd w:id="7"/>
    </w:p>
    <w:p w14:paraId="26F1D69D" w14:textId="77777777" w:rsidR="00FC649E" w:rsidRPr="00937662" w:rsidRDefault="00FC649E" w:rsidP="00FC649E">
      <w:pPr>
        <w:pStyle w:val="Caption"/>
        <w:spacing w:after="0" w:line="276" w:lineRule="auto"/>
        <w:rPr>
          <w:rFonts w:cs="Times New Roman"/>
          <w:color w:val="2E74B5" w:themeColor="accent1" w:themeShade="BF"/>
          <w:sz w:val="24"/>
          <w:szCs w:val="24"/>
          <w:lang w:val="en-GB"/>
        </w:rPr>
      </w:pPr>
    </w:p>
    <w:p w14:paraId="4C8071D5" w14:textId="098865AE" w:rsidR="00CE7960" w:rsidRPr="00937662" w:rsidRDefault="00CE7960" w:rsidP="00CE7960">
      <w:pPr>
        <w:pStyle w:val="Caption"/>
        <w:keepNext/>
        <w:rPr>
          <w:b/>
          <w:color w:val="2E74B5" w:themeColor="accent1" w:themeShade="BF"/>
          <w:sz w:val="24"/>
          <w:szCs w:val="24"/>
        </w:rPr>
      </w:pPr>
      <w:r w:rsidRPr="00937662">
        <w:rPr>
          <w:b/>
          <w:color w:val="2E74B5" w:themeColor="accent1" w:themeShade="BF"/>
          <w:sz w:val="24"/>
          <w:szCs w:val="24"/>
        </w:rPr>
        <w:t xml:space="preserve">Tabela </w:t>
      </w:r>
      <w:r w:rsidR="00A717EE">
        <w:rPr>
          <w:b/>
          <w:color w:val="2E74B5" w:themeColor="accent1" w:themeShade="BF"/>
          <w:sz w:val="24"/>
          <w:szCs w:val="24"/>
        </w:rPr>
        <w:t>5</w:t>
      </w:r>
      <w:r w:rsidRPr="00937662">
        <w:rPr>
          <w:b/>
          <w:color w:val="2E74B5" w:themeColor="accent1" w:themeShade="BF"/>
          <w:sz w:val="24"/>
          <w:szCs w:val="24"/>
        </w:rPr>
        <w:t>: Objektivat relevante të Qeverisë</w:t>
      </w:r>
    </w:p>
    <w:tbl>
      <w:tblPr>
        <w:tblStyle w:val="TableGrid"/>
        <w:tblW w:w="9625" w:type="dxa"/>
        <w:tblLook w:val="04A0" w:firstRow="1" w:lastRow="0" w:firstColumn="1" w:lastColumn="0" w:noHBand="0" w:noVBand="1"/>
      </w:tblPr>
      <w:tblGrid>
        <w:gridCol w:w="4765"/>
        <w:gridCol w:w="4860"/>
      </w:tblGrid>
      <w:tr w:rsidR="00FC649E" w:rsidRPr="00937662" w14:paraId="021FE6F5" w14:textId="77777777" w:rsidTr="00646EBE">
        <w:tc>
          <w:tcPr>
            <w:tcW w:w="4765" w:type="dxa"/>
          </w:tcPr>
          <w:p w14:paraId="24CC7CD6" w14:textId="77777777" w:rsidR="00FC649E" w:rsidRPr="00937662" w:rsidRDefault="00FC649E" w:rsidP="00646EBE">
            <w:pPr>
              <w:spacing w:before="120" w:after="120" w:line="276" w:lineRule="auto"/>
              <w:rPr>
                <w:rFonts w:cs="Times New Roman"/>
                <w:b/>
                <w:szCs w:val="24"/>
              </w:rPr>
            </w:pPr>
            <w:bookmarkStart w:id="8" w:name="_Hlk65931203"/>
            <w:r w:rsidRPr="00937662">
              <w:rPr>
                <w:b/>
              </w:rPr>
              <w:t>Objektivi relevant</w:t>
            </w:r>
          </w:p>
        </w:tc>
        <w:tc>
          <w:tcPr>
            <w:tcW w:w="4860" w:type="dxa"/>
          </w:tcPr>
          <w:p w14:paraId="53DDE17A" w14:textId="77777777" w:rsidR="00FC649E" w:rsidRPr="00937662" w:rsidRDefault="00FC649E" w:rsidP="00646EBE">
            <w:pPr>
              <w:spacing w:before="120" w:after="120" w:line="276" w:lineRule="auto"/>
              <w:rPr>
                <w:rFonts w:cs="Times New Roman"/>
                <w:b/>
                <w:szCs w:val="24"/>
              </w:rPr>
            </w:pPr>
            <w:r w:rsidRPr="00937662">
              <w:rPr>
                <w:b/>
              </w:rPr>
              <w:t>Emri i dokumentit relevant planifikues</w:t>
            </w:r>
          </w:p>
        </w:tc>
      </w:tr>
      <w:tr w:rsidR="00FC649E" w:rsidRPr="00937662" w14:paraId="78F04B7D" w14:textId="77777777" w:rsidTr="00646EBE">
        <w:trPr>
          <w:trHeight w:val="780"/>
        </w:trPr>
        <w:tc>
          <w:tcPr>
            <w:tcW w:w="4765" w:type="dxa"/>
          </w:tcPr>
          <w:p w14:paraId="1CEBEC1E" w14:textId="4304B887" w:rsidR="00FC649E" w:rsidRPr="00937662" w:rsidRDefault="000869FE" w:rsidP="000B7314">
            <w:pPr>
              <w:spacing w:before="120" w:after="120" w:line="276" w:lineRule="auto"/>
              <w:jc w:val="both"/>
              <w:rPr>
                <w:rFonts w:cs="Times New Roman"/>
                <w:szCs w:val="24"/>
              </w:rPr>
            </w:pPr>
            <w:r>
              <w:rPr>
                <w:rFonts w:cs="Times New Roman"/>
                <w:szCs w:val="24"/>
              </w:rPr>
              <w:t>Nivel i lart</w:t>
            </w:r>
            <w:r w:rsidR="00411C92">
              <w:rPr>
                <w:rFonts w:cs="Times New Roman"/>
                <w:szCs w:val="24"/>
              </w:rPr>
              <w:t>ë</w:t>
            </w:r>
            <w:r>
              <w:rPr>
                <w:rFonts w:cs="Times New Roman"/>
                <w:szCs w:val="24"/>
              </w:rPr>
              <w:t xml:space="preserve"> i mbrojtjes s</w:t>
            </w:r>
            <w:r w:rsidR="00411C92">
              <w:rPr>
                <w:rFonts w:cs="Times New Roman"/>
                <w:szCs w:val="24"/>
              </w:rPr>
              <w:t>ë</w:t>
            </w:r>
            <w:r>
              <w:rPr>
                <w:rFonts w:cs="Times New Roman"/>
                <w:szCs w:val="24"/>
              </w:rPr>
              <w:t xml:space="preserve"> tregut nga praktikat e padrejta tregtare me rastin e importit t</w:t>
            </w:r>
            <w:r w:rsidR="00411C92">
              <w:rPr>
                <w:rFonts w:cs="Times New Roman"/>
                <w:szCs w:val="24"/>
              </w:rPr>
              <w:t>ë</w:t>
            </w:r>
            <w:r>
              <w:rPr>
                <w:rFonts w:cs="Times New Roman"/>
                <w:szCs w:val="24"/>
              </w:rPr>
              <w:t xml:space="preserve"> produkteve n</w:t>
            </w:r>
            <w:r w:rsidR="00411C92">
              <w:rPr>
                <w:rFonts w:cs="Times New Roman"/>
                <w:szCs w:val="24"/>
              </w:rPr>
              <w:t>ë</w:t>
            </w:r>
            <w:r>
              <w:rPr>
                <w:rFonts w:cs="Times New Roman"/>
                <w:szCs w:val="24"/>
              </w:rPr>
              <w:t xml:space="preserve"> </w:t>
            </w:r>
            <w:r w:rsidR="000B7314">
              <w:rPr>
                <w:rFonts w:cs="Times New Roman"/>
                <w:szCs w:val="24"/>
              </w:rPr>
              <w:t>Republikën e Kosovës.</w:t>
            </w:r>
          </w:p>
        </w:tc>
        <w:tc>
          <w:tcPr>
            <w:tcW w:w="4860" w:type="dxa"/>
          </w:tcPr>
          <w:p w14:paraId="21CE0DB3" w14:textId="204E0A66" w:rsidR="00FC649E" w:rsidRPr="00937662" w:rsidRDefault="00D56BF2" w:rsidP="00646EBE">
            <w:pPr>
              <w:spacing w:before="120" w:after="120" w:line="276" w:lineRule="auto"/>
              <w:rPr>
                <w:rFonts w:cs="Times New Roman"/>
                <w:szCs w:val="24"/>
              </w:rPr>
            </w:pPr>
            <w:r>
              <w:rPr>
                <w:rFonts w:cs="Times New Roman"/>
                <w:szCs w:val="24"/>
              </w:rPr>
              <w:t>Plani Kombëtar për Zhvillim 2024-2026</w:t>
            </w:r>
          </w:p>
        </w:tc>
      </w:tr>
      <w:tr w:rsidR="00FC649E" w:rsidRPr="00937662" w14:paraId="5786214D" w14:textId="77777777" w:rsidTr="00646EBE">
        <w:trPr>
          <w:trHeight w:val="780"/>
        </w:trPr>
        <w:tc>
          <w:tcPr>
            <w:tcW w:w="4765" w:type="dxa"/>
          </w:tcPr>
          <w:p w14:paraId="358CF4D8" w14:textId="6BF30B2D" w:rsidR="000869FE" w:rsidRPr="00937662" w:rsidRDefault="00A128E1" w:rsidP="00A128E1">
            <w:pPr>
              <w:spacing w:before="120" w:after="120" w:line="276" w:lineRule="auto"/>
              <w:jc w:val="both"/>
              <w:rPr>
                <w:rFonts w:cs="Times New Roman"/>
                <w:szCs w:val="24"/>
              </w:rPr>
            </w:pPr>
            <w:r>
              <w:rPr>
                <w:rFonts w:cs="Times New Roman"/>
                <w:b/>
                <w:szCs w:val="24"/>
              </w:rPr>
              <w:t>Qëllimi</w:t>
            </w:r>
            <w:r w:rsidRPr="00A128E1">
              <w:rPr>
                <w:rFonts w:cs="Times New Roman"/>
                <w:b/>
                <w:szCs w:val="24"/>
              </w:rPr>
              <w:t xml:space="preserve"> strategjik:</w:t>
            </w:r>
            <w:r>
              <w:rPr>
                <w:rFonts w:cs="Times New Roman"/>
                <w:szCs w:val="24"/>
              </w:rPr>
              <w:t xml:space="preserve"> </w:t>
            </w:r>
            <w:r w:rsidR="00D56BF2">
              <w:rPr>
                <w:rFonts w:cs="Times New Roman"/>
                <w:szCs w:val="24"/>
              </w:rPr>
              <w:t>Z</w:t>
            </w:r>
            <w:r w:rsidR="00D56BF2" w:rsidRPr="00D56BF2">
              <w:rPr>
                <w:rFonts w:cs="Times New Roman"/>
                <w:szCs w:val="24"/>
              </w:rPr>
              <w:t>hvillimi i industrisë drejt</w:t>
            </w:r>
            <w:r w:rsidR="00D56BF2">
              <w:rPr>
                <w:rFonts w:cs="Times New Roman"/>
                <w:szCs w:val="24"/>
              </w:rPr>
              <w:t xml:space="preserve"> </w:t>
            </w:r>
            <w:r w:rsidR="00D56BF2" w:rsidRPr="00D56BF2">
              <w:rPr>
                <w:rFonts w:cs="Times New Roman"/>
                <w:szCs w:val="24"/>
              </w:rPr>
              <w:t>produkteve dhe shërbimeve me vlerë të shtuar</w:t>
            </w:r>
          </w:p>
        </w:tc>
        <w:tc>
          <w:tcPr>
            <w:tcW w:w="4860" w:type="dxa"/>
          </w:tcPr>
          <w:p w14:paraId="7B99D4D0" w14:textId="3075D4EA" w:rsidR="00FC649E" w:rsidRPr="00937662" w:rsidRDefault="00D56BF2" w:rsidP="00E673E6">
            <w:pPr>
              <w:spacing w:before="120" w:after="120" w:line="276" w:lineRule="auto"/>
              <w:jc w:val="both"/>
              <w:rPr>
                <w:rFonts w:cs="Times New Roman"/>
                <w:szCs w:val="24"/>
              </w:rPr>
            </w:pPr>
            <w:r w:rsidRPr="00D56BF2">
              <w:rPr>
                <w:rFonts w:cs="Times New Roman"/>
                <w:szCs w:val="24"/>
              </w:rPr>
              <w:t xml:space="preserve">Rritja e efikasitetit të ligjit për masat </w:t>
            </w:r>
            <w:proofErr w:type="spellStart"/>
            <w:r w:rsidRPr="00D56BF2">
              <w:rPr>
                <w:rFonts w:cs="Times New Roman"/>
                <w:szCs w:val="24"/>
              </w:rPr>
              <w:t>antidamping</w:t>
            </w:r>
            <w:proofErr w:type="spellEnd"/>
            <w:r w:rsidRPr="00D56BF2">
              <w:rPr>
                <w:rFonts w:cs="Times New Roman"/>
                <w:szCs w:val="24"/>
              </w:rPr>
              <w:t xml:space="preserve"> dhe masat </w:t>
            </w:r>
            <w:proofErr w:type="spellStart"/>
            <w:r w:rsidRPr="00D56BF2">
              <w:rPr>
                <w:rFonts w:cs="Times New Roman"/>
                <w:szCs w:val="24"/>
              </w:rPr>
              <w:t>kundërbalancuese</w:t>
            </w:r>
            <w:proofErr w:type="spellEnd"/>
            <w:r w:rsidRPr="00D56BF2">
              <w:rPr>
                <w:rFonts w:cs="Times New Roman"/>
                <w:szCs w:val="24"/>
              </w:rPr>
              <w:t xml:space="preserve"> duke mundësuar një sistem koherent të rregullave për mbrojtjen e tregut.</w:t>
            </w:r>
          </w:p>
        </w:tc>
      </w:tr>
      <w:tr w:rsidR="00FC649E" w:rsidRPr="00937662" w14:paraId="0BDCADDF" w14:textId="77777777" w:rsidTr="00646EBE">
        <w:trPr>
          <w:trHeight w:val="780"/>
        </w:trPr>
        <w:tc>
          <w:tcPr>
            <w:tcW w:w="4765" w:type="dxa"/>
          </w:tcPr>
          <w:p w14:paraId="4FB87CFC" w14:textId="2C7B9318" w:rsidR="00FC649E" w:rsidRDefault="00FC649E" w:rsidP="00646EBE">
            <w:pPr>
              <w:spacing w:before="120" w:after="120" w:line="276" w:lineRule="auto"/>
              <w:jc w:val="both"/>
              <w:rPr>
                <w:b/>
              </w:rPr>
            </w:pPr>
            <w:r w:rsidRPr="00937662">
              <w:rPr>
                <w:b/>
              </w:rPr>
              <w:t>Objektivat specifike:</w:t>
            </w:r>
          </w:p>
          <w:p w14:paraId="3F128491" w14:textId="38294B65" w:rsidR="000B7314" w:rsidRPr="000B7314" w:rsidRDefault="00ED1E78" w:rsidP="00646EBE">
            <w:pPr>
              <w:pStyle w:val="ListParagraph"/>
              <w:numPr>
                <w:ilvl w:val="0"/>
                <w:numId w:val="45"/>
              </w:numPr>
              <w:spacing w:before="120" w:after="120" w:line="276" w:lineRule="auto"/>
              <w:jc w:val="both"/>
            </w:pPr>
            <w:r w:rsidRPr="000B7314">
              <w:t>Harmonizimi i rregullave p</w:t>
            </w:r>
            <w:r w:rsidR="00411C92">
              <w:t>ë</w:t>
            </w:r>
            <w:r w:rsidRPr="000B7314">
              <w:t xml:space="preserve">r mbrojtjen e tregut me ato </w:t>
            </w:r>
            <w:r w:rsidR="00411C92">
              <w:t>të OBT-së</w:t>
            </w:r>
            <w:r w:rsidRPr="000B7314">
              <w:t>;</w:t>
            </w:r>
          </w:p>
          <w:p w14:paraId="31BECB54" w14:textId="17EE14B4" w:rsidR="006A6FC0" w:rsidRDefault="006A6FC0" w:rsidP="00646EBE">
            <w:pPr>
              <w:pStyle w:val="ListParagraph"/>
              <w:numPr>
                <w:ilvl w:val="0"/>
                <w:numId w:val="45"/>
              </w:numPr>
              <w:spacing w:before="120" w:after="120" w:line="276" w:lineRule="auto"/>
              <w:jc w:val="both"/>
            </w:pPr>
            <w:r>
              <w:t>P</w:t>
            </w:r>
            <w:r w:rsidRPr="006A6FC0">
              <w:t>ërputh</w:t>
            </w:r>
            <w:r>
              <w:t>shmëri</w:t>
            </w:r>
            <w:r w:rsidRPr="006A6FC0">
              <w:t xml:space="preserve"> me legjislacionin dhe standardet e BE-së për procedurat dhe masat </w:t>
            </w:r>
            <w:proofErr w:type="spellStart"/>
            <w:r w:rsidRPr="006A6FC0">
              <w:t>antidamping</w:t>
            </w:r>
            <w:proofErr w:type="spellEnd"/>
            <w:r w:rsidRPr="006A6FC0">
              <w:t xml:space="preserve"> dhe </w:t>
            </w:r>
            <w:proofErr w:type="spellStart"/>
            <w:r w:rsidRPr="006A6FC0">
              <w:t>kundërbalancuese</w:t>
            </w:r>
            <w:proofErr w:type="spellEnd"/>
            <w:r w:rsidRPr="006A6FC0">
              <w:t xml:space="preserve">. </w:t>
            </w:r>
          </w:p>
          <w:p w14:paraId="1A088A12" w14:textId="7F8B2F6D" w:rsidR="000B7314" w:rsidRPr="000B7314" w:rsidRDefault="000B7314" w:rsidP="00646EBE">
            <w:pPr>
              <w:pStyle w:val="ListParagraph"/>
              <w:numPr>
                <w:ilvl w:val="0"/>
                <w:numId w:val="45"/>
              </w:numPr>
              <w:spacing w:before="120" w:after="120" w:line="276" w:lineRule="auto"/>
              <w:jc w:val="both"/>
            </w:pPr>
            <w:r>
              <w:t>Krijimi i mund</w:t>
            </w:r>
            <w:r w:rsidR="00411C92">
              <w:t>ë</w:t>
            </w:r>
            <w:r>
              <w:t>sive t</w:t>
            </w:r>
            <w:r w:rsidR="00411C92">
              <w:t>ë</w:t>
            </w:r>
            <w:r>
              <w:t xml:space="preserve"> barabarta dhe qasje t</w:t>
            </w:r>
            <w:r w:rsidR="00411C92">
              <w:t>ë</w:t>
            </w:r>
            <w:r>
              <w:t xml:space="preserve"> leht</w:t>
            </w:r>
            <w:r w:rsidR="00411C92">
              <w:t>ë</w:t>
            </w:r>
            <w:r>
              <w:t xml:space="preserve"> n</w:t>
            </w:r>
            <w:r w:rsidR="00411C92">
              <w:t>ë</w:t>
            </w:r>
            <w:r>
              <w:t xml:space="preserve"> tregun vendor p</w:t>
            </w:r>
            <w:r w:rsidR="00411C92">
              <w:t>ë</w:t>
            </w:r>
            <w:r>
              <w:t>r prodhuesit e rinj.</w:t>
            </w:r>
          </w:p>
          <w:p w14:paraId="0261D99A" w14:textId="44749687" w:rsidR="00ED1E78" w:rsidRPr="000B7314" w:rsidRDefault="00ED1E78" w:rsidP="00646EBE">
            <w:pPr>
              <w:pStyle w:val="ListParagraph"/>
              <w:numPr>
                <w:ilvl w:val="0"/>
                <w:numId w:val="45"/>
              </w:numPr>
              <w:spacing w:before="120" w:after="120" w:line="276" w:lineRule="auto"/>
              <w:jc w:val="both"/>
            </w:pPr>
            <w:r w:rsidRPr="000B7314">
              <w:rPr>
                <w:rFonts w:cs="Times New Roman"/>
                <w:bCs/>
                <w:szCs w:val="24"/>
              </w:rPr>
              <w:t xml:space="preserve">Promovimi i pjesëmarrjes dhe bashkëpunimit të industrisë vendore me institucionet kompetente për mbrojtjen e tregut. </w:t>
            </w:r>
          </w:p>
          <w:p w14:paraId="47BF8971" w14:textId="77777777" w:rsidR="000B7314" w:rsidRPr="000B7314" w:rsidRDefault="000B7314" w:rsidP="000B7314">
            <w:pPr>
              <w:pStyle w:val="ListParagraph"/>
              <w:spacing w:before="120" w:after="120" w:line="276" w:lineRule="auto"/>
              <w:jc w:val="both"/>
            </w:pPr>
          </w:p>
          <w:p w14:paraId="195406D7" w14:textId="77777777" w:rsidR="00FC649E" w:rsidRPr="00937662" w:rsidRDefault="00FC649E" w:rsidP="00444274">
            <w:pPr>
              <w:pStyle w:val="ListParagraph"/>
              <w:numPr>
                <w:ilvl w:val="0"/>
                <w:numId w:val="1"/>
              </w:numPr>
              <w:spacing w:before="120" w:after="120" w:line="276" w:lineRule="auto"/>
              <w:ind w:left="0"/>
              <w:jc w:val="both"/>
              <w:rPr>
                <w:rFonts w:cs="Times New Roman"/>
                <w:szCs w:val="24"/>
                <w:lang w:val="en-GB"/>
              </w:rPr>
            </w:pPr>
          </w:p>
        </w:tc>
        <w:tc>
          <w:tcPr>
            <w:tcW w:w="4860" w:type="dxa"/>
          </w:tcPr>
          <w:p w14:paraId="47972113" w14:textId="18638F81" w:rsidR="00FC649E" w:rsidRPr="00937662" w:rsidRDefault="00ED1E78" w:rsidP="00E673E6">
            <w:pPr>
              <w:spacing w:before="120" w:after="120" w:line="276" w:lineRule="auto"/>
              <w:jc w:val="both"/>
              <w:rPr>
                <w:rFonts w:cs="Times New Roman"/>
                <w:szCs w:val="24"/>
              </w:rPr>
            </w:pPr>
            <w:r w:rsidRPr="00ED1E78">
              <w:rPr>
                <w:rFonts w:cs="Times New Roman"/>
                <w:szCs w:val="24"/>
              </w:rPr>
              <w:t>Objektivat janë rezultat i analizës së bërë për qëllimet e këtij Koncept Dokumenti.</w:t>
            </w:r>
          </w:p>
        </w:tc>
      </w:tr>
    </w:tbl>
    <w:p w14:paraId="5A3FD559" w14:textId="77777777" w:rsidR="00EC390B" w:rsidRDefault="00EC390B" w:rsidP="00EC390B">
      <w:pPr>
        <w:pStyle w:val="NoSpacing"/>
        <w:spacing w:line="276" w:lineRule="auto"/>
        <w:jc w:val="both"/>
      </w:pPr>
      <w:bookmarkStart w:id="9" w:name="_Toc66089550"/>
      <w:bookmarkStart w:id="10" w:name="_Toc441747331"/>
      <w:bookmarkEnd w:id="8"/>
    </w:p>
    <w:p w14:paraId="3BF8690C" w14:textId="369C196B" w:rsidR="00EC390B" w:rsidRDefault="00EC390B" w:rsidP="00EC390B">
      <w:pPr>
        <w:pStyle w:val="NoSpacing"/>
        <w:spacing w:line="276" w:lineRule="auto"/>
        <w:jc w:val="both"/>
      </w:pPr>
      <w:r>
        <w:t>Objektiv kryesor është vendosja e kushteve dhe rregullave</w:t>
      </w:r>
      <w:r w:rsidR="000B04EB">
        <w:t xml:space="preserve"> të qarta</w:t>
      </w:r>
      <w:r>
        <w:t xml:space="preserve"> të procedurës për vendosjen e masave </w:t>
      </w:r>
      <w:proofErr w:type="spellStart"/>
      <w:r>
        <w:t>antidumping</w:t>
      </w:r>
      <w:proofErr w:type="spellEnd"/>
      <w:r>
        <w:t xml:space="preserve"> dhe </w:t>
      </w:r>
      <w:proofErr w:type="spellStart"/>
      <w:r>
        <w:t>kundërbalancuese</w:t>
      </w:r>
      <w:proofErr w:type="spellEnd"/>
      <w:r>
        <w:t xml:space="preserve">, të cilat synojnë mbrojtjen e industrive vendore nga importet e produkteve të </w:t>
      </w:r>
      <w:proofErr w:type="spellStart"/>
      <w:r>
        <w:t>dampuara</w:t>
      </w:r>
      <w:proofErr w:type="spellEnd"/>
      <w:r>
        <w:t xml:space="preserve">. Ky ligj ka për qëllim zbatimin e procesit të vendimmarrjes së autoriteteve të Kosovës dhe vendimet që do të merren për aplikimin e detyrimeve të importit për të kompensuar efektet e dëmshme të importeve të </w:t>
      </w:r>
      <w:proofErr w:type="spellStart"/>
      <w:r>
        <w:t>dampuara</w:t>
      </w:r>
      <w:proofErr w:type="spellEnd"/>
      <w:r>
        <w:t xml:space="preserve"> në industrinë e Republikës së Kosovës.</w:t>
      </w:r>
    </w:p>
    <w:p w14:paraId="3CB1B053" w14:textId="71B7FECC" w:rsidR="00EC390B" w:rsidRDefault="00EC390B" w:rsidP="00EC390B">
      <w:pPr>
        <w:pStyle w:val="NoSpacing"/>
        <w:spacing w:line="276" w:lineRule="auto"/>
        <w:jc w:val="both"/>
      </w:pPr>
      <w:proofErr w:type="spellStart"/>
      <w:r>
        <w:lastRenderedPageBreak/>
        <w:t>Poashtu</w:t>
      </w:r>
      <w:proofErr w:type="spellEnd"/>
      <w:r>
        <w:t xml:space="preserve"> ligji do të zbatohet  për vendosjen e masave </w:t>
      </w:r>
      <w:proofErr w:type="spellStart"/>
      <w:r>
        <w:t>antidamping</w:t>
      </w:r>
      <w:proofErr w:type="spellEnd"/>
      <w:r>
        <w:t xml:space="preserve"> dhe masave </w:t>
      </w:r>
      <w:proofErr w:type="spellStart"/>
      <w:r>
        <w:t>kundërbalancuese</w:t>
      </w:r>
      <w:proofErr w:type="spellEnd"/>
      <w:r>
        <w:t xml:space="preserve">   ndaj një produkti të importuar, që një prodhues i jashtëm përfiton nga një ose më shumë subvencione specifike, të cilat i ka përfituar në mënyrë të drejtpërdrejtë ose të tërthortë nga vendi i tij</w:t>
      </w:r>
      <w:r w:rsidR="000B04EB">
        <w:t>,</w:t>
      </w:r>
      <w:r>
        <w:t xml:space="preserve"> përkatësisht autoritet publik i atij vendi gjate prodhimit, eksportimit ose transportimit, kur  importi i produktit në fjalë, shkakton ose kërcënon t</w:t>
      </w:r>
      <w:r w:rsidR="000B04EB">
        <w:t>’</w:t>
      </w:r>
      <w:r>
        <w:t xml:space="preserve">i shkaktoi dëm industrisë vendore. </w:t>
      </w:r>
    </w:p>
    <w:p w14:paraId="7DDDB008" w14:textId="77777777" w:rsidR="00EC390B" w:rsidRDefault="00EC390B" w:rsidP="00EC390B">
      <w:pPr>
        <w:pStyle w:val="NoSpacing"/>
        <w:spacing w:line="276" w:lineRule="auto"/>
        <w:jc w:val="both"/>
      </w:pPr>
    </w:p>
    <w:p w14:paraId="4673577B" w14:textId="055736CB" w:rsidR="00E673E6" w:rsidRDefault="00EC390B" w:rsidP="00EC390B">
      <w:pPr>
        <w:pStyle w:val="NoSpacing"/>
        <w:spacing w:line="276" w:lineRule="auto"/>
        <w:jc w:val="both"/>
      </w:pPr>
      <w:r>
        <w:t>Në vazhdim do të listohen edhe disa nga objektivat specifike:</w:t>
      </w:r>
    </w:p>
    <w:p w14:paraId="4D4C7FB1" w14:textId="77777777" w:rsidR="00EC390B" w:rsidRDefault="00EC390B" w:rsidP="00E673E6">
      <w:pPr>
        <w:pStyle w:val="NoSpacing"/>
        <w:spacing w:line="276" w:lineRule="auto"/>
        <w:jc w:val="both"/>
      </w:pPr>
    </w:p>
    <w:p w14:paraId="3CD65C4A" w14:textId="609DB31B" w:rsidR="006A6FC0" w:rsidRPr="006A6FC0" w:rsidRDefault="006A6FC0" w:rsidP="006A6FC0">
      <w:pPr>
        <w:pStyle w:val="NoSpacing"/>
        <w:spacing w:line="276" w:lineRule="auto"/>
        <w:jc w:val="both"/>
        <w:rPr>
          <w:b/>
        </w:rPr>
      </w:pPr>
      <w:r w:rsidRPr="006A6FC0">
        <w:rPr>
          <w:b/>
        </w:rPr>
        <w:t>1.</w:t>
      </w:r>
      <w:r w:rsidRPr="006A6FC0">
        <w:rPr>
          <w:b/>
        </w:rPr>
        <w:tab/>
      </w:r>
      <w:r w:rsidRPr="00DE6C16">
        <w:rPr>
          <w:b/>
          <w:i/>
        </w:rPr>
        <w:t>Harmonizimi i rregullave për mbrojtjen e tregut me ato të OBT-së</w:t>
      </w:r>
      <w:r w:rsidRPr="006A6FC0">
        <w:rPr>
          <w:b/>
        </w:rPr>
        <w:t xml:space="preserve"> </w:t>
      </w:r>
    </w:p>
    <w:p w14:paraId="069F44C0" w14:textId="77777777" w:rsidR="006A6FC0" w:rsidRDefault="006A6FC0" w:rsidP="006A6FC0">
      <w:pPr>
        <w:pStyle w:val="NoSpacing"/>
        <w:spacing w:line="276" w:lineRule="auto"/>
        <w:jc w:val="both"/>
      </w:pPr>
    </w:p>
    <w:p w14:paraId="271D2044" w14:textId="0C174A40" w:rsidR="006A6FC0" w:rsidRDefault="006A6FC0" w:rsidP="006A6FC0">
      <w:pPr>
        <w:pStyle w:val="NoSpacing"/>
        <w:spacing w:line="276" w:lineRule="auto"/>
        <w:jc w:val="both"/>
      </w:pPr>
      <w:r>
        <w:t>Duke pasur parasysh kontekstin, siç është paraqitur në Seksionin I më sipër, arsyetimi për pajtueshmërinë me rregullat e OBT-së është i dyfishtë: i) ndaj BE-së</w:t>
      </w:r>
      <w:r w:rsidR="00B51977">
        <w:t>,</w:t>
      </w:r>
      <w:r>
        <w:t xml:space="preserve">  palëve në CEFTA</w:t>
      </w:r>
      <w:r w:rsidR="00B51977">
        <w:t xml:space="preserve">, Britanisë së </w:t>
      </w:r>
      <w:r w:rsidR="0033779C">
        <w:t>M</w:t>
      </w:r>
      <w:r w:rsidR="00B51977">
        <w:t>adhe dhe Turqisë</w:t>
      </w:r>
      <w:r>
        <w:t xml:space="preserve"> Kosova është ligjërisht e detyruar t'u përmbahet rregullave të OBT-së;</w:t>
      </w:r>
      <w:r w:rsidR="00537B03">
        <w:t xml:space="preserve"> ndërsa</w:t>
      </w:r>
      <w:r>
        <w:t xml:space="preserve"> ndaj vendeve të tjera ajo nuk është e detyruar </w:t>
      </w:r>
      <w:r w:rsidR="00537B03">
        <w:t xml:space="preserve">t’u përmbahet </w:t>
      </w:r>
      <w:r>
        <w:t>rregulla</w:t>
      </w:r>
      <w:r w:rsidR="00537B03">
        <w:t>ve të</w:t>
      </w:r>
      <w:r>
        <w:t xml:space="preserve"> OBT-së. Megjithatë, </w:t>
      </w:r>
      <w:r w:rsidR="00537B03">
        <w:t>m</w:t>
      </w:r>
      <w:r>
        <w:t>jete</w:t>
      </w:r>
      <w:r w:rsidR="00537B03">
        <w:t>t</w:t>
      </w:r>
      <w:r>
        <w:t xml:space="preserve"> juridike tregtare sigurojnë që politikat </w:t>
      </w:r>
      <w:proofErr w:type="spellStart"/>
      <w:r>
        <w:t>antidamping</w:t>
      </w:r>
      <w:proofErr w:type="spellEnd"/>
      <w:r>
        <w:t xml:space="preserve"> dhe </w:t>
      </w:r>
      <w:proofErr w:type="spellStart"/>
      <w:r>
        <w:t>antisubvencionuese</w:t>
      </w:r>
      <w:proofErr w:type="spellEnd"/>
      <w:r>
        <w:t xml:space="preserve"> të mos e rrezikojnë politikën e liberalizimit të tregtisë që Kosova e ka ndjekur me vite.</w:t>
      </w:r>
      <w:r w:rsidR="00537B03">
        <w:t xml:space="preserve"> </w:t>
      </w:r>
    </w:p>
    <w:p w14:paraId="236B921E" w14:textId="77777777" w:rsidR="006A6FC0" w:rsidRDefault="006A6FC0" w:rsidP="006A6FC0">
      <w:pPr>
        <w:pStyle w:val="NoSpacing"/>
        <w:spacing w:line="276" w:lineRule="auto"/>
        <w:jc w:val="both"/>
      </w:pPr>
    </w:p>
    <w:p w14:paraId="35BA8201" w14:textId="3E8EBA11" w:rsidR="006A6FC0" w:rsidRDefault="006A6FC0" w:rsidP="006A6FC0">
      <w:pPr>
        <w:pStyle w:val="NoSpacing"/>
        <w:spacing w:line="276" w:lineRule="auto"/>
        <w:jc w:val="both"/>
      </w:pPr>
      <w:r>
        <w:t xml:space="preserve">Përveç kësaj, pajtueshmëria me rregullat e OBT-së zvogëlon rrezikun </w:t>
      </w:r>
      <w:r w:rsidR="00DE6C16">
        <w:t>e arbitraritetit dhe</w:t>
      </w:r>
      <w:r>
        <w:t xml:space="preserve"> atë të </w:t>
      </w:r>
      <w:r w:rsidR="00BF4475">
        <w:t xml:space="preserve">masave </w:t>
      </w:r>
      <w:r w:rsidR="00525C49">
        <w:t>kundër</w:t>
      </w:r>
      <w:r w:rsidR="00BF4475">
        <w:t>vepruese</w:t>
      </w:r>
      <w:r w:rsidR="00B51977">
        <w:t xml:space="preserve"> </w:t>
      </w:r>
      <w:r>
        <w:t>nga partnerët tregtarë të Kosovës të prekur nga masat e saj juridike tregtare.</w:t>
      </w:r>
    </w:p>
    <w:p w14:paraId="76F4AC98" w14:textId="77777777" w:rsidR="00366EBE" w:rsidRDefault="00366EBE" w:rsidP="006A6FC0">
      <w:pPr>
        <w:pStyle w:val="NoSpacing"/>
        <w:spacing w:line="276" w:lineRule="auto"/>
        <w:jc w:val="both"/>
      </w:pPr>
    </w:p>
    <w:p w14:paraId="1CED01C8" w14:textId="473E3900" w:rsidR="006A6FC0" w:rsidRPr="00BF4475" w:rsidRDefault="00366EBE" w:rsidP="00366EBE">
      <w:pPr>
        <w:pStyle w:val="NoSpacing"/>
        <w:numPr>
          <w:ilvl w:val="0"/>
          <w:numId w:val="1"/>
        </w:numPr>
        <w:spacing w:line="276" w:lineRule="auto"/>
        <w:jc w:val="both"/>
        <w:rPr>
          <w:b/>
          <w:i/>
        </w:rPr>
      </w:pPr>
      <w:r w:rsidRPr="00BF4475">
        <w:rPr>
          <w:b/>
          <w:i/>
        </w:rPr>
        <w:t>Përputhshmëri</w:t>
      </w:r>
      <w:r w:rsidR="00C022DE" w:rsidRPr="00BF4475">
        <w:rPr>
          <w:b/>
          <w:i/>
        </w:rPr>
        <w:t>a</w:t>
      </w:r>
      <w:r w:rsidRPr="00BF4475">
        <w:rPr>
          <w:b/>
          <w:i/>
        </w:rPr>
        <w:t xml:space="preserve"> me legjislacionin dhe standardet e BE-së për procedurat dhe masat </w:t>
      </w:r>
      <w:proofErr w:type="spellStart"/>
      <w:r w:rsidRPr="00BF4475">
        <w:rPr>
          <w:b/>
          <w:i/>
        </w:rPr>
        <w:t>antidamping</w:t>
      </w:r>
      <w:proofErr w:type="spellEnd"/>
      <w:r w:rsidRPr="00BF4475">
        <w:rPr>
          <w:b/>
          <w:i/>
        </w:rPr>
        <w:t xml:space="preserve"> dhe </w:t>
      </w:r>
      <w:proofErr w:type="spellStart"/>
      <w:r w:rsidRPr="00BF4475">
        <w:rPr>
          <w:b/>
          <w:i/>
        </w:rPr>
        <w:t>kundërbalancuese</w:t>
      </w:r>
      <w:proofErr w:type="spellEnd"/>
    </w:p>
    <w:p w14:paraId="29EDB2E1" w14:textId="77777777" w:rsidR="00366EBE" w:rsidRDefault="00366EBE" w:rsidP="00366EBE">
      <w:pPr>
        <w:pStyle w:val="NoSpacing"/>
        <w:spacing w:line="276" w:lineRule="auto"/>
        <w:ind w:left="360"/>
        <w:jc w:val="both"/>
        <w:rPr>
          <w:b/>
        </w:rPr>
      </w:pPr>
    </w:p>
    <w:p w14:paraId="68BBE0E6" w14:textId="421850BC" w:rsidR="00366EBE" w:rsidRDefault="00366EBE" w:rsidP="00366EBE">
      <w:pPr>
        <w:pStyle w:val="NoSpacing"/>
        <w:spacing w:line="276" w:lineRule="auto"/>
        <w:jc w:val="both"/>
      </w:pPr>
      <w:r w:rsidRPr="00366EBE">
        <w:t xml:space="preserve">Pajtueshmëria </w:t>
      </w:r>
      <w:r>
        <w:t xml:space="preserve">e plotë </w:t>
      </w:r>
      <w:r w:rsidRPr="00366EBE">
        <w:t>me rregulloret e BE-së për m</w:t>
      </w:r>
      <w:r>
        <w:t xml:space="preserve">asat </w:t>
      </w:r>
      <w:proofErr w:type="spellStart"/>
      <w:r>
        <w:t>antidamping</w:t>
      </w:r>
      <w:proofErr w:type="spellEnd"/>
      <w:r>
        <w:t xml:space="preserve"> dhe masat </w:t>
      </w:r>
      <w:proofErr w:type="spellStart"/>
      <w:r>
        <w:t>kundërbalancuese</w:t>
      </w:r>
      <w:proofErr w:type="spellEnd"/>
      <w:r w:rsidRPr="00366EBE">
        <w:t xml:space="preserve"> nuk është e detyrueshme</w:t>
      </w:r>
      <w:r w:rsidR="00525C49">
        <w:t>,</w:t>
      </w:r>
      <w:r w:rsidR="00C76C4C" w:rsidRPr="00C76C4C">
        <w:t xml:space="preserve"> </w:t>
      </w:r>
      <w:r w:rsidR="00C76C4C">
        <w:t xml:space="preserve">por edhe nuk rekomandohet që rregulloret e BE-së të </w:t>
      </w:r>
      <w:proofErr w:type="spellStart"/>
      <w:r w:rsidR="00C76C4C">
        <w:t>transpozohen</w:t>
      </w:r>
      <w:proofErr w:type="spellEnd"/>
      <w:r w:rsidR="00C76C4C">
        <w:t xml:space="preserve"> plotësisht </w:t>
      </w:r>
      <w:r w:rsidR="00C76C4C" w:rsidRPr="00C76C4C">
        <w:t>për arsyet e mëposhtme</w:t>
      </w:r>
      <w:r w:rsidR="00C76C4C">
        <w:t>:</w:t>
      </w:r>
    </w:p>
    <w:p w14:paraId="12344A3C" w14:textId="77777777" w:rsidR="00C76C4C" w:rsidRDefault="00C76C4C" w:rsidP="00366EBE">
      <w:pPr>
        <w:pStyle w:val="NoSpacing"/>
        <w:spacing w:line="276" w:lineRule="auto"/>
        <w:jc w:val="both"/>
      </w:pPr>
    </w:p>
    <w:p w14:paraId="3ED48566" w14:textId="484A5AF1" w:rsidR="00366EBE" w:rsidRDefault="00366EBE" w:rsidP="00366EBE">
      <w:pPr>
        <w:pStyle w:val="NoSpacing"/>
        <w:spacing w:line="276" w:lineRule="auto"/>
        <w:jc w:val="both"/>
      </w:pPr>
      <w:r>
        <w:t xml:space="preserve">Së pari dhe më e rëndësishmja, duhet theksuar se marrëdhënia me BE-në dhe procesi drejt anëtarësimit në BE – që përfshin përafrimin e legjislacionit të Kosovës me </w:t>
      </w:r>
      <w:proofErr w:type="spellStart"/>
      <w:r>
        <w:t>acquis</w:t>
      </w:r>
      <w:proofErr w:type="spellEnd"/>
      <w:r>
        <w:t>-në e BE-së – nuk e detyron Kosovën që të miratojë apo edhe të përafrojë legjislacionin e saj për mjetet juridike tregtare me atë të BE-së:</w:t>
      </w:r>
    </w:p>
    <w:p w14:paraId="7A0E667A" w14:textId="77777777" w:rsidR="00366EBE" w:rsidRDefault="00366EBE" w:rsidP="00366EBE">
      <w:pPr>
        <w:pStyle w:val="NoSpacing"/>
        <w:spacing w:line="276" w:lineRule="auto"/>
        <w:jc w:val="both"/>
      </w:pPr>
    </w:p>
    <w:p w14:paraId="157E6104" w14:textId="77777777" w:rsidR="00366EBE" w:rsidRDefault="00366EBE" w:rsidP="00366EBE">
      <w:pPr>
        <w:pStyle w:val="NoSpacing"/>
        <w:spacing w:line="276" w:lineRule="auto"/>
        <w:jc w:val="both"/>
      </w:pPr>
      <w:r>
        <w:t>-</w:t>
      </w:r>
      <w:r>
        <w:tab/>
        <w:t>MSA-ja kërkon vetëm që Kosova të respektojë rregullat e OBT-së për mjetet juridike tregtare;</w:t>
      </w:r>
    </w:p>
    <w:p w14:paraId="2C5C9253" w14:textId="77777777" w:rsidR="00366EBE" w:rsidRDefault="00366EBE" w:rsidP="00366EBE">
      <w:pPr>
        <w:pStyle w:val="NoSpacing"/>
        <w:spacing w:line="276" w:lineRule="auto"/>
        <w:jc w:val="both"/>
      </w:pPr>
    </w:p>
    <w:p w14:paraId="766632A5" w14:textId="7BDAFA6B" w:rsidR="00366EBE" w:rsidRDefault="00366EBE" w:rsidP="00366EBE">
      <w:pPr>
        <w:pStyle w:val="NoSpacing"/>
        <w:spacing w:line="276" w:lineRule="auto"/>
        <w:jc w:val="both"/>
      </w:pPr>
      <w:r>
        <w:t>-</w:t>
      </w:r>
      <w:r>
        <w:tab/>
        <w:t xml:space="preserve">Me anëtarësimin e Kosovës në BE, politikat </w:t>
      </w:r>
      <w:proofErr w:type="spellStart"/>
      <w:r>
        <w:t>antidamping</w:t>
      </w:r>
      <w:proofErr w:type="spellEnd"/>
      <w:r>
        <w:t xml:space="preserve"> dhe </w:t>
      </w:r>
      <w:proofErr w:type="spellStart"/>
      <w:r>
        <w:t>antisubvencionim</w:t>
      </w:r>
      <w:proofErr w:type="spellEnd"/>
      <w:r>
        <w:t xml:space="preserve"> do të jenë në kompetencë ekskluzive të BE-së. Kjo do të thotë se e vetmja mënyrë që Kosova ta vendos legjislacionin e saj në përputhje me ligjin e BE-së do të jetë shfuqizimi i ligjit të saj për mjetet juridike tregtare. Kjo është arsyeja pse instrumentet e mbrojtjes tregtare nuk janë pjesë </w:t>
      </w:r>
      <w:proofErr w:type="spellStart"/>
      <w:r>
        <w:t>obligative</w:t>
      </w:r>
      <w:proofErr w:type="spellEnd"/>
      <w:r>
        <w:t xml:space="preserve"> e pë</w:t>
      </w:r>
      <w:r w:rsidR="00EC390B">
        <w:t>r</w:t>
      </w:r>
      <w:r>
        <w:t xml:space="preserve">afrimit me </w:t>
      </w:r>
      <w:proofErr w:type="spellStart"/>
      <w:r>
        <w:t>acquis</w:t>
      </w:r>
      <w:proofErr w:type="spellEnd"/>
      <w:r>
        <w:t xml:space="preserve"> të BE-së. Shtetet </w:t>
      </w:r>
      <w:r w:rsidR="00C76C4C">
        <w:t>A</w:t>
      </w:r>
      <w:r>
        <w:t>nëtare nuk kanë asnjë rol në hetimet e mbrojtjes së tregut</w:t>
      </w:r>
      <w:r w:rsidR="00C76C4C">
        <w:t xml:space="preserve"> të </w:t>
      </w:r>
      <w:r w:rsidR="00C76C4C">
        <w:lastRenderedPageBreak/>
        <w:t xml:space="preserve">brendshëm të një vendi. </w:t>
      </w:r>
      <w:r>
        <w:t xml:space="preserve"> Në lidhje me doganat, përafrimi me </w:t>
      </w:r>
      <w:proofErr w:type="spellStart"/>
      <w:r>
        <w:t>acquis</w:t>
      </w:r>
      <w:proofErr w:type="spellEnd"/>
      <w:r>
        <w:t xml:space="preserve"> të BE-së konsiston thjesht në sigurimin e zbatimit të Kodit Doganor </w:t>
      </w:r>
      <w:r w:rsidR="00EC390B">
        <w:t>të BE-së dhe dispozitave të tij</w:t>
      </w:r>
      <w:r>
        <w:t>.</w:t>
      </w:r>
    </w:p>
    <w:p w14:paraId="49B1E27F" w14:textId="77777777" w:rsidR="00366EBE" w:rsidRDefault="00366EBE" w:rsidP="00366EBE">
      <w:pPr>
        <w:pStyle w:val="NoSpacing"/>
        <w:spacing w:line="276" w:lineRule="auto"/>
        <w:jc w:val="both"/>
      </w:pPr>
    </w:p>
    <w:p w14:paraId="1541492C" w14:textId="13CD17AC" w:rsidR="00366EBE" w:rsidRPr="00BF4475" w:rsidRDefault="00366EBE" w:rsidP="00366EBE">
      <w:pPr>
        <w:pStyle w:val="NoSpacing"/>
        <w:spacing w:line="276" w:lineRule="auto"/>
        <w:jc w:val="both"/>
        <w:rPr>
          <w:b/>
          <w:i/>
        </w:rPr>
      </w:pPr>
      <w:r w:rsidRPr="00BF4475">
        <w:rPr>
          <w:b/>
          <w:i/>
        </w:rPr>
        <w:t xml:space="preserve">Pajtueshmëria e plotë me ligjin e BE-së për mjetet juridike tregtare </w:t>
      </w:r>
      <w:r w:rsidR="00EC390B" w:rsidRPr="00BF4475">
        <w:rPr>
          <w:b/>
          <w:i/>
        </w:rPr>
        <w:t>nuk është e domosdoshme</w:t>
      </w:r>
      <w:r w:rsidRPr="00BF4475">
        <w:rPr>
          <w:b/>
          <w:i/>
        </w:rPr>
        <w:t>:</w:t>
      </w:r>
    </w:p>
    <w:p w14:paraId="6A15F93B" w14:textId="77777777" w:rsidR="00EC390B" w:rsidRDefault="00EC390B" w:rsidP="00366EBE">
      <w:pPr>
        <w:pStyle w:val="NoSpacing"/>
        <w:spacing w:line="276" w:lineRule="auto"/>
        <w:jc w:val="both"/>
      </w:pPr>
    </w:p>
    <w:p w14:paraId="3FED984F" w14:textId="77777777" w:rsidR="00EC390B" w:rsidRPr="00EC390B" w:rsidRDefault="00EC390B" w:rsidP="00EC390B">
      <w:pPr>
        <w:pStyle w:val="NoSpacing"/>
        <w:spacing w:line="276" w:lineRule="auto"/>
        <w:jc w:val="both"/>
        <w:rPr>
          <w:i/>
          <w:u w:val="single"/>
        </w:rPr>
      </w:pPr>
      <w:r w:rsidRPr="00EC390B">
        <w:rPr>
          <w:i/>
          <w:u w:val="single"/>
        </w:rPr>
        <w:t>Pajtueshmëria me rregulloret e BE-së për mjetet juridike tregtare, bie ndesh me objektivin e sigurimit të pajtueshmërisë me rregullat e OBT-së</w:t>
      </w:r>
    </w:p>
    <w:p w14:paraId="18F8EBD6" w14:textId="77777777" w:rsidR="00EC390B" w:rsidRDefault="00EC390B" w:rsidP="00EC390B">
      <w:pPr>
        <w:pStyle w:val="NoSpacing"/>
        <w:spacing w:line="276" w:lineRule="auto"/>
        <w:jc w:val="both"/>
      </w:pPr>
    </w:p>
    <w:p w14:paraId="207C421E" w14:textId="14090566" w:rsidR="00EC390B" w:rsidRDefault="00EC390B" w:rsidP="00EC390B">
      <w:pPr>
        <w:pStyle w:val="NoSpacing"/>
        <w:spacing w:line="276" w:lineRule="auto"/>
        <w:jc w:val="both"/>
      </w:pPr>
      <w:r>
        <w:t xml:space="preserve">Është me rëndësi të bëhet dallimi ndërmjet legjislacionit si i tillë dhe legjislacionit të zbatuar (ose praktikës së brendshme të procedurave </w:t>
      </w:r>
      <w:proofErr w:type="spellStart"/>
      <w:r>
        <w:t>antidamping</w:t>
      </w:r>
      <w:proofErr w:type="spellEnd"/>
      <w:r>
        <w:t xml:space="preserve"> dhe </w:t>
      </w:r>
      <w:proofErr w:type="spellStart"/>
      <w:r>
        <w:t>kundërbalancuese</w:t>
      </w:r>
      <w:proofErr w:type="spellEnd"/>
      <w:r>
        <w:t xml:space="preserve">). Një vend mund të ketë legjislacion </w:t>
      </w:r>
      <w:proofErr w:type="spellStart"/>
      <w:r>
        <w:t>antidamping</w:t>
      </w:r>
      <w:proofErr w:type="spellEnd"/>
      <w:r>
        <w:t xml:space="preserve"> dhe </w:t>
      </w:r>
      <w:proofErr w:type="spellStart"/>
      <w:r>
        <w:t>kundërbalancues</w:t>
      </w:r>
      <w:proofErr w:type="spellEnd"/>
      <w:r>
        <w:t xml:space="preserve"> që </w:t>
      </w:r>
      <w:proofErr w:type="spellStart"/>
      <w:r w:rsidR="00C76C4C">
        <w:t>kopjo</w:t>
      </w:r>
      <w:r>
        <w:t>në</w:t>
      </w:r>
      <w:proofErr w:type="spellEnd"/>
      <w:r>
        <w:t xml:space="preserve"> plotësisht dispozitat e marrëveshjeve përkatëse të OBT-së, ndërsa praktika</w:t>
      </w:r>
      <w:r w:rsidR="00C76C4C">
        <w:t>t e saja (siç mishërohet në udhëzimet administrative</w:t>
      </w:r>
      <w:r>
        <w:t xml:space="preserve"> dhe rregulloret që zbatojnë masat në bazë të përcaktimeve të </w:t>
      </w:r>
      <w:proofErr w:type="spellStart"/>
      <w:r>
        <w:t>dampi</w:t>
      </w:r>
      <w:r w:rsidR="00C76C4C">
        <w:t>ngut</w:t>
      </w:r>
      <w:proofErr w:type="spellEnd"/>
      <w:r w:rsidR="00C76C4C">
        <w:t>/subvencionimit dhe dëmit</w:t>
      </w:r>
      <w:r>
        <w:t xml:space="preserve">) mund të konstatohet në shkeljet e Rregullave të OBT-së. Kjo ndodh sepse ka disa zbrazëtira ose dispozita që kanë qenë objekt interpretimi në marrëveshjet e OBT-së për masat </w:t>
      </w:r>
      <w:proofErr w:type="spellStart"/>
      <w:r>
        <w:t>antidamping</w:t>
      </w:r>
      <w:proofErr w:type="spellEnd"/>
      <w:r>
        <w:t xml:space="preserve"> dhe </w:t>
      </w:r>
      <w:proofErr w:type="spellStart"/>
      <w:r>
        <w:t>kundërbalancuese</w:t>
      </w:r>
      <w:proofErr w:type="spellEnd"/>
      <w:r>
        <w:t>;</w:t>
      </w:r>
    </w:p>
    <w:p w14:paraId="5A01366A" w14:textId="77777777" w:rsidR="00EC390B" w:rsidRDefault="00EC390B" w:rsidP="00EC390B">
      <w:pPr>
        <w:pStyle w:val="NoSpacing"/>
        <w:spacing w:line="276" w:lineRule="auto"/>
        <w:jc w:val="both"/>
      </w:pPr>
    </w:p>
    <w:p w14:paraId="7E974E8E" w14:textId="72C814F9" w:rsidR="00366EBE" w:rsidRDefault="00EC390B" w:rsidP="00EC390B">
      <w:pPr>
        <w:pStyle w:val="NoSpacing"/>
        <w:spacing w:line="276" w:lineRule="auto"/>
        <w:jc w:val="both"/>
      </w:pPr>
      <w:r>
        <w:t xml:space="preserve">Rregulloret e BE-së për masat </w:t>
      </w:r>
      <w:proofErr w:type="spellStart"/>
      <w:r>
        <w:t>antidamping</w:t>
      </w:r>
      <w:proofErr w:type="spellEnd"/>
      <w:r>
        <w:t xml:space="preserve"> dhe </w:t>
      </w:r>
      <w:proofErr w:type="spellStart"/>
      <w:r>
        <w:t>kundërbalancuese</w:t>
      </w:r>
      <w:proofErr w:type="spellEnd"/>
      <w:r>
        <w:t xml:space="preserve"> nuk kopjojnë thjesht dispozitat e marrëveshjeve të OBT-së siç interpretohen nga praktika</w:t>
      </w:r>
      <w:r w:rsidR="00057634">
        <w:t>t</w:t>
      </w:r>
      <w:r>
        <w:t xml:space="preserve"> gjyqësore. Ato ofrojnë metodologji më të sakta (të pa </w:t>
      </w:r>
      <w:proofErr w:type="spellStart"/>
      <w:r>
        <w:t>mandatuara</w:t>
      </w:r>
      <w:proofErr w:type="spellEnd"/>
      <w:r>
        <w:t xml:space="preserve"> nga rregullat e OBT-së) të cilat mund të rezultojnë në masa më kufizuese të tregtisë. Kjo sjell rrezikun e mospërputhjes midis disa standardeve të BE-së dhe ligjit të OBT-së. </w:t>
      </w:r>
      <w:r w:rsidR="00C76C4C">
        <w:t>Ndryshimet e fundit në</w:t>
      </w:r>
      <w:r>
        <w:t xml:space="preserve"> rregulloret e BE-së do të paraqiten në S</w:t>
      </w:r>
      <w:r w:rsidR="0035486A">
        <w:t>htojcën 1</w:t>
      </w:r>
      <w:r>
        <w:t>.</w:t>
      </w:r>
    </w:p>
    <w:p w14:paraId="657DE506" w14:textId="77777777" w:rsidR="00C76C4C" w:rsidRDefault="00C76C4C" w:rsidP="00EC390B">
      <w:pPr>
        <w:pStyle w:val="NoSpacing"/>
        <w:spacing w:line="276" w:lineRule="auto"/>
        <w:jc w:val="both"/>
      </w:pPr>
    </w:p>
    <w:p w14:paraId="3E078F57" w14:textId="37318B3F" w:rsidR="00C76C4C" w:rsidRPr="000D069B" w:rsidRDefault="00C76C4C" w:rsidP="00C76C4C">
      <w:pPr>
        <w:pStyle w:val="NoSpacing"/>
        <w:spacing w:line="276" w:lineRule="auto"/>
        <w:jc w:val="both"/>
        <w:rPr>
          <w:i/>
          <w:u w:val="single"/>
        </w:rPr>
      </w:pPr>
      <w:r w:rsidRPr="000D069B">
        <w:rPr>
          <w:i/>
          <w:u w:val="single"/>
        </w:rPr>
        <w:t>Pajtueshmëria</w:t>
      </w:r>
      <w:r w:rsidR="007F0E19">
        <w:rPr>
          <w:i/>
          <w:u w:val="single"/>
        </w:rPr>
        <w:t xml:space="preserve"> e plotë</w:t>
      </w:r>
      <w:r w:rsidRPr="000D069B">
        <w:rPr>
          <w:i/>
          <w:u w:val="single"/>
        </w:rPr>
        <w:t xml:space="preserve"> me rregulloret e BE-së për mjetet juridike tregtare do të rezultonte në rritje të </w:t>
      </w:r>
      <w:proofErr w:type="spellStart"/>
      <w:r w:rsidRPr="000D069B">
        <w:rPr>
          <w:i/>
          <w:u w:val="single"/>
        </w:rPr>
        <w:t>kompleksitetit</w:t>
      </w:r>
      <w:proofErr w:type="spellEnd"/>
      <w:r w:rsidRPr="000D069B">
        <w:rPr>
          <w:i/>
          <w:u w:val="single"/>
        </w:rPr>
        <w:t xml:space="preserve"> </w:t>
      </w:r>
    </w:p>
    <w:p w14:paraId="4312DDDD" w14:textId="77777777" w:rsidR="00C76C4C" w:rsidRDefault="00C76C4C" w:rsidP="00C76C4C">
      <w:pPr>
        <w:pStyle w:val="NoSpacing"/>
        <w:spacing w:line="276" w:lineRule="auto"/>
        <w:jc w:val="both"/>
      </w:pPr>
    </w:p>
    <w:p w14:paraId="45D646AB" w14:textId="07D7F072" w:rsidR="00C76C4C" w:rsidRDefault="00C76C4C" w:rsidP="00C76C4C">
      <w:pPr>
        <w:pStyle w:val="NoSpacing"/>
        <w:spacing w:line="276" w:lineRule="auto"/>
        <w:jc w:val="both"/>
      </w:pPr>
      <w:r>
        <w:t xml:space="preserve">Përveç kësaj, duke pranuar përputhshmërinë me ligjin e OBT-së, ndryshimet e fundit në legjislacionin e BE-së i shtojnë </w:t>
      </w:r>
      <w:proofErr w:type="spellStart"/>
      <w:r>
        <w:t>kompleksitet</w:t>
      </w:r>
      <w:proofErr w:type="spellEnd"/>
      <w:r>
        <w:t xml:space="preserve"> të konsiderueshëm hetimeve dhe detyrimeve të autoritetit hetues dhe do të kërkonin dukshëm më shumë kapacitete dhe burime. Ky është rasti ndër të tjera për</w:t>
      </w:r>
      <w:r w:rsidR="000D069B">
        <w:t xml:space="preserve"> arsye të</w:t>
      </w:r>
      <w:r>
        <w:t>:</w:t>
      </w:r>
    </w:p>
    <w:p w14:paraId="4861F0BA" w14:textId="3A4AFF8F" w:rsidR="00C76C4C" w:rsidRDefault="00EE288A" w:rsidP="00F56C86">
      <w:pPr>
        <w:pStyle w:val="NoSpacing"/>
        <w:tabs>
          <w:tab w:val="left" w:pos="3329"/>
        </w:tabs>
        <w:spacing w:line="276" w:lineRule="auto"/>
        <w:jc w:val="both"/>
      </w:pPr>
      <w:r>
        <w:tab/>
      </w:r>
    </w:p>
    <w:p w14:paraId="705CEAE8" w14:textId="063B0B31" w:rsidR="00C76C4C" w:rsidRDefault="000D069B" w:rsidP="00C76C4C">
      <w:pPr>
        <w:pStyle w:val="NoSpacing"/>
        <w:spacing w:line="276" w:lineRule="auto"/>
        <w:jc w:val="both"/>
      </w:pPr>
      <w:r>
        <w:t>i) Ndryshimeve</w:t>
      </w:r>
      <w:r w:rsidR="00C76C4C">
        <w:t xml:space="preserve"> në lidhje me ndërhyrjet e shtetit në ekonomi (mundësia për të përdorur një metodologji alternative të llogaritjes së </w:t>
      </w:r>
      <w:proofErr w:type="spellStart"/>
      <w:r w:rsidR="00C76C4C">
        <w:t>dampingut</w:t>
      </w:r>
      <w:proofErr w:type="spellEnd"/>
      <w:r w:rsidR="00C76C4C">
        <w:t xml:space="preserve"> dhe për të vendosur tarifa më të larta në rast të shtrembërimeve të çmimeve të lëndëve të para), duke braktisur rregullin e tarifës më të ulët;</w:t>
      </w:r>
    </w:p>
    <w:p w14:paraId="37ACB03B" w14:textId="77777777" w:rsidR="00C76C4C" w:rsidRDefault="00C76C4C" w:rsidP="00C76C4C">
      <w:pPr>
        <w:pStyle w:val="NoSpacing"/>
        <w:spacing w:line="276" w:lineRule="auto"/>
        <w:jc w:val="both"/>
      </w:pPr>
    </w:p>
    <w:p w14:paraId="76F19B46" w14:textId="257980A5" w:rsidR="00C76C4C" w:rsidRDefault="00C76C4C" w:rsidP="00C76C4C">
      <w:pPr>
        <w:pStyle w:val="NoSpacing"/>
        <w:spacing w:line="276" w:lineRule="auto"/>
        <w:jc w:val="both"/>
      </w:pPr>
      <w:proofErr w:type="spellStart"/>
      <w:r>
        <w:t>ii</w:t>
      </w:r>
      <w:proofErr w:type="spellEnd"/>
      <w:r>
        <w:t>) Mundësi</w:t>
      </w:r>
      <w:r w:rsidR="000D069B">
        <w:t>së</w:t>
      </w:r>
      <w:r>
        <w:t xml:space="preserve"> për të marrë parasysh standardet sociale dhe mjedisore gjatë vlerësimit të ndërmarrjeve dhe përcaktimit të marzhave të eliminimit të dëme</w:t>
      </w:r>
      <w:r w:rsidR="00525C49">
        <w:t>ve</w:t>
      </w:r>
      <w:r>
        <w:t>;</w:t>
      </w:r>
    </w:p>
    <w:p w14:paraId="2DDED673" w14:textId="77777777" w:rsidR="00C76C4C" w:rsidRDefault="00C76C4C" w:rsidP="00C76C4C">
      <w:pPr>
        <w:pStyle w:val="NoSpacing"/>
        <w:spacing w:line="276" w:lineRule="auto"/>
        <w:jc w:val="both"/>
      </w:pPr>
    </w:p>
    <w:p w14:paraId="58D5C3BB" w14:textId="4A8E4BFF" w:rsidR="00C76C4C" w:rsidRDefault="000D069B" w:rsidP="00C76C4C">
      <w:pPr>
        <w:pStyle w:val="NoSpacing"/>
        <w:spacing w:line="276" w:lineRule="auto"/>
        <w:jc w:val="both"/>
      </w:pPr>
      <w:proofErr w:type="spellStart"/>
      <w:r>
        <w:t>iii</w:t>
      </w:r>
      <w:proofErr w:type="spellEnd"/>
      <w:r>
        <w:t>) Uljes</w:t>
      </w:r>
      <w:r w:rsidR="00C76C4C">
        <w:t xml:space="preserve"> </w:t>
      </w:r>
      <w:r>
        <w:t>së</w:t>
      </w:r>
      <w:r w:rsidR="00C76C4C">
        <w:t xml:space="preserve"> periudhës së hetimit në shtatë muaj.</w:t>
      </w:r>
    </w:p>
    <w:p w14:paraId="1BC2C17D" w14:textId="77777777" w:rsidR="00C76C4C" w:rsidRDefault="00C76C4C" w:rsidP="00C76C4C">
      <w:pPr>
        <w:pStyle w:val="NoSpacing"/>
        <w:spacing w:line="276" w:lineRule="auto"/>
        <w:jc w:val="both"/>
      </w:pPr>
    </w:p>
    <w:p w14:paraId="1EC52690" w14:textId="30D4FEB2" w:rsidR="00C76C4C" w:rsidRDefault="00C76C4C" w:rsidP="00C76C4C">
      <w:pPr>
        <w:pStyle w:val="NoSpacing"/>
        <w:spacing w:line="276" w:lineRule="auto"/>
        <w:jc w:val="both"/>
      </w:pPr>
      <w:proofErr w:type="spellStart"/>
      <w:r>
        <w:lastRenderedPageBreak/>
        <w:t>Kompleksiteti</w:t>
      </w:r>
      <w:proofErr w:type="spellEnd"/>
      <w:r>
        <w:t xml:space="preserve"> i konsiderueshëm (në zbatimin e standardeve të reja dhe kryerjen e hetimeve) mbart në vetvete rrezikun e mospërputhjes së vendimeve të OBT-së për të vendosur masa </w:t>
      </w:r>
      <w:proofErr w:type="spellStart"/>
      <w:r>
        <w:t>antidamping</w:t>
      </w:r>
      <w:proofErr w:type="spellEnd"/>
      <w:r>
        <w:t xml:space="preserve"> dhe </w:t>
      </w:r>
      <w:proofErr w:type="spellStart"/>
      <w:r>
        <w:t>kundërbalancuese</w:t>
      </w:r>
      <w:proofErr w:type="spellEnd"/>
      <w:r>
        <w:t>, veçanërisht kur kapacitetet dhe burimet</w:t>
      </w:r>
      <w:r w:rsidR="000D069B">
        <w:t xml:space="preserve"> njerëzore</w:t>
      </w:r>
      <w:r>
        <w:t xml:space="preserve"> janë të kufizuara.</w:t>
      </w:r>
    </w:p>
    <w:p w14:paraId="7768BF5F" w14:textId="0D7E55C6" w:rsidR="00C92E14" w:rsidRDefault="00C92E14" w:rsidP="00E3741B">
      <w:pPr>
        <w:pStyle w:val="Heading1"/>
        <w:rPr>
          <w:rFonts w:ascii="Times New Roman" w:hAnsi="Times New Roman" w:cs="Times New Roman"/>
          <w:b/>
        </w:rPr>
      </w:pPr>
      <w:bookmarkStart w:id="11" w:name="_Chapter_1.2_Main"/>
      <w:bookmarkStart w:id="12" w:name="_Toc66089558"/>
      <w:bookmarkStart w:id="13" w:name="_Toc69198223"/>
      <w:bookmarkEnd w:id="9"/>
      <w:bookmarkEnd w:id="10"/>
      <w:bookmarkEnd w:id="11"/>
      <w:r w:rsidRPr="00937662">
        <w:rPr>
          <w:rFonts w:ascii="Times New Roman" w:hAnsi="Times New Roman" w:cs="Times New Roman"/>
          <w:b/>
        </w:rPr>
        <w:t>Kapitulli 3: Opsionet</w:t>
      </w:r>
      <w:bookmarkEnd w:id="12"/>
      <w:bookmarkEnd w:id="13"/>
    </w:p>
    <w:p w14:paraId="6B996ED2" w14:textId="77777777" w:rsidR="00A41CE3" w:rsidRPr="00BF4475" w:rsidRDefault="00A41CE3" w:rsidP="00BF4475"/>
    <w:p w14:paraId="0882930E" w14:textId="3F53BC42" w:rsidR="00C92E14" w:rsidRDefault="00C92E14" w:rsidP="00E3741B">
      <w:pPr>
        <w:jc w:val="both"/>
      </w:pPr>
      <w:r w:rsidRPr="00937662">
        <w:t xml:space="preserve">Për të shtjelluar problemin kryesor të identifikuar dhe analizuar në këtë </w:t>
      </w:r>
      <w:r w:rsidR="00FD5283" w:rsidRPr="00937662">
        <w:t xml:space="preserve">koncept </w:t>
      </w:r>
      <w:r w:rsidRPr="00937662">
        <w:t xml:space="preserve">dokument, më poshtë janë paraqitur tre opsione: </w:t>
      </w:r>
    </w:p>
    <w:p w14:paraId="783D6426" w14:textId="77777777" w:rsidR="00A41CE3" w:rsidRPr="00937662" w:rsidRDefault="00A41CE3" w:rsidP="00E3741B">
      <w:pPr>
        <w:jc w:val="both"/>
      </w:pPr>
    </w:p>
    <w:p w14:paraId="6D26D066" w14:textId="77777777" w:rsidR="00586461" w:rsidRPr="004B0CDC" w:rsidRDefault="00586461" w:rsidP="00BF4475">
      <w:pPr>
        <w:rPr>
          <w:rFonts w:eastAsia="Times New Roman" w:cs="Times New Roman"/>
          <w:b/>
          <w:bCs/>
          <w:color w:val="2E74B5" w:themeColor="accent1" w:themeShade="BF"/>
          <w:szCs w:val="24"/>
        </w:rPr>
      </w:pPr>
      <w:r w:rsidRPr="004B0CDC">
        <w:rPr>
          <w:rFonts w:eastAsia="Times New Roman" w:cs="Times New Roman"/>
          <w:b/>
          <w:bCs/>
          <w:color w:val="2E74B5" w:themeColor="accent1" w:themeShade="BF"/>
          <w:szCs w:val="24"/>
        </w:rPr>
        <w:t>Kapitulli 3.1: Opsioni "Pa ndryshim"</w:t>
      </w:r>
    </w:p>
    <w:p w14:paraId="14503729" w14:textId="31FD4D92" w:rsidR="00C92E14" w:rsidRPr="00937662" w:rsidRDefault="00C92E14" w:rsidP="00E3741B">
      <w:pPr>
        <w:jc w:val="both"/>
      </w:pPr>
      <w:r w:rsidRPr="00937662">
        <w:t>1. "Pa ndryshim", sipas të cilit situata aktuale dhe rrjedhimisht vështirësitë</w:t>
      </w:r>
      <w:r w:rsidR="00586461">
        <w:t xml:space="preserve"> në implementimin e ligjit</w:t>
      </w:r>
      <w:r w:rsidRPr="00937662">
        <w:t xml:space="preserve"> e paraqitura do të vazhdonin në praktikë (Opsioni 1). </w:t>
      </w:r>
    </w:p>
    <w:p w14:paraId="2B049C37" w14:textId="398B4445" w:rsidR="00C92E14" w:rsidRPr="003870D3" w:rsidRDefault="00C92E14" w:rsidP="003D019A">
      <w:pPr>
        <w:pStyle w:val="Heading2"/>
      </w:pPr>
      <w:bookmarkStart w:id="14" w:name="_Toc66089560"/>
      <w:bookmarkStart w:id="15" w:name="_Toc69198225"/>
      <w:r w:rsidRPr="00A41CE3">
        <w:t xml:space="preserve">Kapitulli 3.2: </w:t>
      </w:r>
      <w:r w:rsidR="00EE706C" w:rsidRPr="00A41CE3">
        <w:t xml:space="preserve">Opsioni </w:t>
      </w:r>
      <w:r w:rsidR="003870D3">
        <w:t>p</w:t>
      </w:r>
      <w:r w:rsidRPr="00C7224B">
        <w:t>ërmirësimi i zbatimit të kornizës aktuale ligjore</w:t>
      </w:r>
      <w:bookmarkEnd w:id="14"/>
      <w:bookmarkEnd w:id="15"/>
    </w:p>
    <w:p w14:paraId="6AE9B8F4" w14:textId="61C2EBF8" w:rsidR="00C92E14" w:rsidRPr="00937662" w:rsidRDefault="00C92E14" w:rsidP="00E673E6">
      <w:pPr>
        <w:jc w:val="both"/>
      </w:pPr>
      <w:r w:rsidRPr="00937662">
        <w:t xml:space="preserve">Opsioni i dytë shqyrton mundësitë për shtjellimin e mangësive kryesore të sistemit, </w:t>
      </w:r>
      <w:r w:rsidR="003870D3">
        <w:t xml:space="preserve">duke </w:t>
      </w:r>
      <w:r w:rsidRPr="00937662">
        <w:t xml:space="preserve"> ndryshuar ligjin ekzistues. Ky opsion shqyrton mundësinë e përmirësimit të zbatimit të kornizës aktuale ligjore përmes</w:t>
      </w:r>
      <w:r w:rsidR="00444274">
        <w:t xml:space="preserve"> </w:t>
      </w:r>
      <w:proofErr w:type="spellStart"/>
      <w:r w:rsidR="00444274">
        <w:t>amendamentimit</w:t>
      </w:r>
      <w:proofErr w:type="spellEnd"/>
      <w:r w:rsidR="00444274">
        <w:t xml:space="preserve"> t</w:t>
      </w:r>
      <w:r w:rsidR="00BE60D9">
        <w:t>ë</w:t>
      </w:r>
      <w:r w:rsidR="00444274">
        <w:t xml:space="preserve"> ligjit</w:t>
      </w:r>
      <w:r w:rsidRPr="00937662">
        <w:t xml:space="preserve">, për të siguruar zbatimin koherent të ligjit, ekzekutimin e ligjit </w:t>
      </w:r>
      <w:r w:rsidR="00444274">
        <w:t>n</w:t>
      </w:r>
      <w:r w:rsidR="00BE60D9">
        <w:t>ë</w:t>
      </w:r>
      <w:r w:rsidR="00444274">
        <w:t xml:space="preserve"> m</w:t>
      </w:r>
      <w:r w:rsidR="00BE60D9">
        <w:t>ë</w:t>
      </w:r>
      <w:r w:rsidR="00444274">
        <w:t>nyr</w:t>
      </w:r>
      <w:r w:rsidR="00BE60D9">
        <w:t>ë</w:t>
      </w:r>
      <w:r w:rsidR="00444274">
        <w:t xml:space="preserve"> efikase duke e bazuar vendimmarrjen n</w:t>
      </w:r>
      <w:r w:rsidR="00BE60D9">
        <w:t>ë</w:t>
      </w:r>
      <w:r w:rsidR="00444274">
        <w:t xml:space="preserve"> parimet kryesore q</w:t>
      </w:r>
      <w:r w:rsidR="00BE60D9">
        <w:t>ë</w:t>
      </w:r>
      <w:r w:rsidR="00444274">
        <w:t xml:space="preserve"> rrjedhin nga praktikat m</w:t>
      </w:r>
      <w:r w:rsidR="00BE60D9">
        <w:t>ë</w:t>
      </w:r>
      <w:r w:rsidR="00444274">
        <w:t xml:space="preserve"> t</w:t>
      </w:r>
      <w:r w:rsidR="00BE60D9">
        <w:t>ë</w:t>
      </w:r>
      <w:r w:rsidR="00444274">
        <w:t xml:space="preserve"> mira nd</w:t>
      </w:r>
      <w:r w:rsidR="00BE60D9">
        <w:t>ë</w:t>
      </w:r>
      <w:r w:rsidR="00444274">
        <w:t>rkomb</w:t>
      </w:r>
      <w:r w:rsidR="00BE60D9">
        <w:t>ë</w:t>
      </w:r>
      <w:r w:rsidR="00444274">
        <w:t>tare</w:t>
      </w:r>
      <w:r w:rsidRPr="00937662">
        <w:t xml:space="preserve">. </w:t>
      </w:r>
    </w:p>
    <w:p w14:paraId="1ABD5CB0" w14:textId="0E3E44EA" w:rsidR="00C92E14" w:rsidRDefault="00C92E14" w:rsidP="00E673E6">
      <w:pPr>
        <w:jc w:val="both"/>
      </w:pPr>
      <w:r w:rsidRPr="00937662">
        <w:t xml:space="preserve">Pavarësisht nëse nevojiten ndryshime për të përmirësuar zbatimin e ligjit aktual (Opsioni </w:t>
      </w:r>
      <w:r w:rsidR="00D52D5E">
        <w:t>2</w:t>
      </w:r>
      <w:r w:rsidRPr="00937662">
        <w:t>), M</w:t>
      </w:r>
      <w:r w:rsidR="00D52D5E">
        <w:t>INT  duhet të organizo</w:t>
      </w:r>
      <w:r w:rsidRPr="00937662">
        <w:t>jë vazhdimisht t</w:t>
      </w:r>
      <w:r w:rsidR="00D52D5E">
        <w:t xml:space="preserve">akime </w:t>
      </w:r>
      <w:r w:rsidRPr="00937662">
        <w:t xml:space="preserve">dhe aktivitete të tjera për </w:t>
      </w:r>
      <w:r w:rsidR="00D52D5E">
        <w:t>prodhuesit e sektor</w:t>
      </w:r>
      <w:r w:rsidR="00BE60D9">
        <w:t>ë</w:t>
      </w:r>
      <w:r w:rsidR="00D52D5E">
        <w:t>ve t</w:t>
      </w:r>
      <w:r w:rsidR="00BE60D9">
        <w:t>ë</w:t>
      </w:r>
      <w:r w:rsidR="00D52D5E">
        <w:t xml:space="preserve"> ndrysh</w:t>
      </w:r>
      <w:r w:rsidR="00BE60D9">
        <w:t>ë</w:t>
      </w:r>
      <w:r w:rsidR="00D52D5E">
        <w:t>m</w:t>
      </w:r>
      <w:r w:rsidRPr="00937662">
        <w:t>. Kjo vlen gjithashtu</w:t>
      </w:r>
      <w:r w:rsidR="00D52D5E">
        <w:t xml:space="preserve"> edhe</w:t>
      </w:r>
      <w:r w:rsidRPr="00937662">
        <w:t xml:space="preserve"> për odat ekonomike,</w:t>
      </w:r>
      <w:r w:rsidR="006C3603">
        <w:t xml:space="preserve"> organizatat</w:t>
      </w:r>
      <w:r w:rsidRPr="00937662">
        <w:t xml:space="preserve"> të cilat p</w:t>
      </w:r>
      <w:r w:rsidR="00D52D5E">
        <w:t>ërfaqësojnë interesat e bizneseve</w:t>
      </w:r>
      <w:r w:rsidRPr="00937662">
        <w:t xml:space="preserve">, por edhe për organizatat e konsumatorëve. </w:t>
      </w:r>
    </w:p>
    <w:p w14:paraId="641B40E6" w14:textId="130E3F5B" w:rsidR="00586461" w:rsidRPr="00937662" w:rsidRDefault="00586461" w:rsidP="00E673E6">
      <w:pPr>
        <w:jc w:val="both"/>
      </w:pPr>
      <w:r w:rsidRPr="00586461">
        <w:t xml:space="preserve">. Analiza e kryer për këtë dokument gjithashtu shqyrtoi opsionin që vetëm </w:t>
      </w:r>
      <w:r w:rsidR="003870D3">
        <w:t xml:space="preserve">me </w:t>
      </w:r>
      <w:r w:rsidRPr="00586461">
        <w:t>përmirësimi</w:t>
      </w:r>
      <w:r w:rsidR="003870D3">
        <w:t xml:space="preserve">n </w:t>
      </w:r>
      <w:r w:rsidRPr="00586461">
        <w:t xml:space="preserve"> </w:t>
      </w:r>
      <w:r w:rsidR="003870D3">
        <w:t xml:space="preserve">e </w:t>
      </w:r>
      <w:r w:rsidRPr="00586461">
        <w:t xml:space="preserve"> </w:t>
      </w:r>
      <w:r w:rsidR="003870D3">
        <w:t>l</w:t>
      </w:r>
      <w:r w:rsidRPr="00586461">
        <w:t xml:space="preserve">igjit ekzistues për </w:t>
      </w:r>
      <w:r w:rsidR="003870D3">
        <w:t>m</w:t>
      </w:r>
      <w:r w:rsidRPr="00586461">
        <w:t xml:space="preserve">asat </w:t>
      </w:r>
      <w:proofErr w:type="spellStart"/>
      <w:r w:rsidRPr="00586461">
        <w:t>antidamping</w:t>
      </w:r>
      <w:proofErr w:type="spellEnd"/>
      <w:r w:rsidRPr="00586461">
        <w:t xml:space="preserve"> dhe masat </w:t>
      </w:r>
      <w:proofErr w:type="spellStart"/>
      <w:r w:rsidRPr="00586461">
        <w:t>kundërbalancuese</w:t>
      </w:r>
      <w:proofErr w:type="spellEnd"/>
      <w:r w:rsidRPr="00586461">
        <w:t xml:space="preserve"> nuk do të ishte përgjigja e mjaftueshme për arsye se përmes amendamenteve do të rrezikonim që të mos </w:t>
      </w:r>
      <w:proofErr w:type="spellStart"/>
      <w:r w:rsidRPr="00586461">
        <w:t>eleminohen</w:t>
      </w:r>
      <w:proofErr w:type="spellEnd"/>
      <w:r w:rsidRPr="00586461">
        <w:t xml:space="preserve"> paqartësitë në ligjin aktual. Kështu do të rrezikonte që të rris edhe më tej </w:t>
      </w:r>
      <w:proofErr w:type="spellStart"/>
      <w:r w:rsidRPr="00586461">
        <w:t>konfuzitetin</w:t>
      </w:r>
      <w:proofErr w:type="spellEnd"/>
      <w:r w:rsidRPr="00586461">
        <w:t xml:space="preserve"> ku për pasojë do të shkaktonte pengesa në implementimin e ligjit</w:t>
      </w:r>
      <w:r w:rsidR="006C3603">
        <w:t>.</w:t>
      </w:r>
    </w:p>
    <w:p w14:paraId="37631888" w14:textId="44302FDD" w:rsidR="00C92E14" w:rsidRPr="00937662" w:rsidRDefault="00C92E14" w:rsidP="003D019A">
      <w:pPr>
        <w:pStyle w:val="Heading2"/>
      </w:pPr>
      <w:bookmarkStart w:id="16" w:name="_Toc66089561"/>
      <w:bookmarkStart w:id="17" w:name="_Toc69198226"/>
      <w:r w:rsidRPr="00937662">
        <w:t xml:space="preserve">Kapitulli 3.3: </w:t>
      </w:r>
      <w:r w:rsidR="00EE706C">
        <w:t xml:space="preserve">Opsioni </w:t>
      </w:r>
      <w:r w:rsidR="003870D3">
        <w:t>h</w:t>
      </w:r>
      <w:r w:rsidRPr="00937662">
        <w:t xml:space="preserve">artimi i </w:t>
      </w:r>
      <w:r w:rsidR="003870D3">
        <w:t>l</w:t>
      </w:r>
      <w:r w:rsidRPr="00937662">
        <w:t xml:space="preserve">igjit të ri për </w:t>
      </w:r>
      <w:bookmarkEnd w:id="16"/>
      <w:bookmarkEnd w:id="17"/>
      <w:r w:rsidR="003870D3">
        <w:t>m</w:t>
      </w:r>
      <w:r w:rsidR="00405F50">
        <w:t xml:space="preserve">asat </w:t>
      </w:r>
      <w:proofErr w:type="spellStart"/>
      <w:r w:rsidR="00405F50">
        <w:t>A</w:t>
      </w:r>
      <w:r w:rsidR="003870D3">
        <w:t>a</w:t>
      </w:r>
      <w:r w:rsidR="00405F50">
        <w:t>tidamping</w:t>
      </w:r>
      <w:proofErr w:type="spellEnd"/>
      <w:r w:rsidR="00405F50">
        <w:t xml:space="preserve"> dhe masat </w:t>
      </w:r>
      <w:proofErr w:type="spellStart"/>
      <w:r w:rsidR="00405F50">
        <w:t>kundërbalancuese</w:t>
      </w:r>
      <w:proofErr w:type="spellEnd"/>
      <w:r w:rsidRPr="00937662">
        <w:t xml:space="preserve">  </w:t>
      </w:r>
    </w:p>
    <w:p w14:paraId="6FB0E143" w14:textId="5A62C11C" w:rsidR="00C92E14" w:rsidRPr="00937662" w:rsidRDefault="00C92E14" w:rsidP="00E673E6">
      <w:pPr>
        <w:jc w:val="both"/>
      </w:pPr>
      <w:r w:rsidRPr="00937662">
        <w:t>Rregullat e përcaktuara m</w:t>
      </w:r>
      <w:r w:rsidR="00D52D5E">
        <w:t xml:space="preserve">e ligje apo akte të ndryshme </w:t>
      </w:r>
      <w:r w:rsidRPr="00937662">
        <w:t>ligjore mund të jenë në kundërshtim me njër</w:t>
      </w:r>
      <w:r w:rsidR="00FE2236">
        <w:t>a</w:t>
      </w:r>
      <w:r w:rsidRPr="00937662">
        <w:t>-</w:t>
      </w:r>
      <w:proofErr w:type="spellStart"/>
      <w:r w:rsidRPr="00937662">
        <w:t>tjetr</w:t>
      </w:r>
      <w:r w:rsidR="006C3603">
        <w:t>e</w:t>
      </w:r>
      <w:r w:rsidRPr="00937662">
        <w:t>n</w:t>
      </w:r>
      <w:proofErr w:type="spellEnd"/>
      <w:r w:rsidRPr="00937662">
        <w:t xml:space="preserve"> dhe gjithashtu mund të ketë dispozita kontradiktore brenda të njëjtit akt juridik. Kontradikta të tilla shkaktojnë </w:t>
      </w:r>
      <w:r w:rsidR="006726E8" w:rsidRPr="00937662">
        <w:t xml:space="preserve">konfuzion </w:t>
      </w:r>
      <w:r w:rsidRPr="00937662">
        <w:t>dhe pasiguri ligjore. Prandaj, ato duhet të shtjellohen dhe harmonizohen si duhet. Përkufizimet që aplikohen në ligj dhe kushtet që i përcakton ligji duhet të formulohen saktësisht. Teksa shtjelluam këtë çështje në kapitujt hyrës, ne shpjeguam në hollësi se cilat j</w:t>
      </w:r>
      <w:r w:rsidR="00405F50">
        <w:t xml:space="preserve">anë këto çështje kundërthënëse dhe </w:t>
      </w:r>
      <w:r w:rsidRPr="00937662">
        <w:t xml:space="preserve">cilat probleme shkaktohen nga këto kundërthënie. Formulimi i qartë në </w:t>
      </w:r>
      <w:r w:rsidR="003870D3">
        <w:t>l</w:t>
      </w:r>
      <w:r w:rsidRPr="00937662">
        <w:t>igjin e ri duhet të shpjegojë se si do shtjellohen dhe zgjidhen kundërthëniet e</w:t>
      </w:r>
      <w:r w:rsidR="00405F50">
        <w:t xml:space="preserve"> ndryshme</w:t>
      </w:r>
      <w:r w:rsidR="006C3603">
        <w:t>,</w:t>
      </w:r>
      <w:r w:rsidR="00405F50">
        <w:t xml:space="preserve"> </w:t>
      </w:r>
      <w:r w:rsidR="006C3603">
        <w:t xml:space="preserve">dhe </w:t>
      </w:r>
      <w:r w:rsidR="00405F50">
        <w:t>me rëndësi</w:t>
      </w:r>
      <w:r w:rsidR="006C3603">
        <w:t xml:space="preserve"> </w:t>
      </w:r>
      <w:r w:rsidR="006C3603" w:rsidRPr="00937662">
        <w:t>ë</w:t>
      </w:r>
      <w:r w:rsidR="006C3603">
        <w:t>sht</w:t>
      </w:r>
      <w:r w:rsidR="006C3603" w:rsidRPr="00937662">
        <w:t>ë</w:t>
      </w:r>
      <w:r w:rsidR="00405F50">
        <w:t xml:space="preserve"> renditj</w:t>
      </w:r>
      <w:r w:rsidR="006C3603">
        <w:t>a</w:t>
      </w:r>
      <w:r w:rsidR="00405F50">
        <w:t xml:space="preserve"> kronologjike e veprimeve</w:t>
      </w:r>
      <w:r w:rsidRPr="00937662">
        <w:t>.</w:t>
      </w:r>
    </w:p>
    <w:p w14:paraId="0914A7C5" w14:textId="77777777" w:rsidR="00246929" w:rsidRDefault="00C92E14" w:rsidP="00E673E6">
      <w:pPr>
        <w:jc w:val="both"/>
      </w:pPr>
      <w:r w:rsidRPr="00937662">
        <w:lastRenderedPageBreak/>
        <w:t xml:space="preserve">Kur mangësitë në kornizën aktuale </w:t>
      </w:r>
      <w:proofErr w:type="spellStart"/>
      <w:r w:rsidRPr="00937662">
        <w:t>rregullatore</w:t>
      </w:r>
      <w:proofErr w:type="spellEnd"/>
      <w:r w:rsidRPr="00937662">
        <w:t xml:space="preserve"> janë shkaku i problemit, ashtu si në këtë rast, hartimi i një akti të ri ligjor është opsioni i vetëm për të zgjidhur problemin. Për më tepër, analiza </w:t>
      </w:r>
      <w:r w:rsidR="006726E8" w:rsidRPr="00937662">
        <w:t xml:space="preserve">tregon </w:t>
      </w:r>
      <w:r w:rsidRPr="00937662">
        <w:t xml:space="preserve">se problemi nuk mund të zgjidhet me përshtatjen e kornizës ekzistuese ligjore. </w:t>
      </w:r>
      <w:r w:rsidR="00246929">
        <w:t>Në vazhdim janë dhënë opsionet për zgjidhjen e shkaqeve të përmendura në pjesën e problemeve aktuale të identifikuara:</w:t>
      </w:r>
    </w:p>
    <w:p w14:paraId="0BF2D22B" w14:textId="16837940" w:rsidR="00246929" w:rsidRDefault="00246929" w:rsidP="00246929">
      <w:pPr>
        <w:jc w:val="both"/>
      </w:pPr>
      <w:r>
        <w:t xml:space="preserve"> Neni 1 Qëllimi: </w:t>
      </w:r>
    </w:p>
    <w:p w14:paraId="7D75673A" w14:textId="77777777" w:rsidR="00246929" w:rsidRDefault="00246929" w:rsidP="00246929">
      <w:pPr>
        <w:jc w:val="both"/>
      </w:pPr>
      <w:r>
        <w:t xml:space="preserve">Koment: Disa pjesë duhet të fshihen pasi që janë të padobishme, termet që janë përdorur në përkufizime janë të përcaktuara në pjesë të tjera të ligjit. Për më tepër, ligji nuk ka të bëjë vetëm me aspekte procedurale por edhe me kushte </w:t>
      </w:r>
      <w:proofErr w:type="spellStart"/>
      <w:r>
        <w:t>përmbajtësore</w:t>
      </w:r>
      <w:proofErr w:type="spellEnd"/>
      <w:r>
        <w:t xml:space="preserve">. </w:t>
      </w:r>
    </w:p>
    <w:p w14:paraId="1C061156" w14:textId="77777777" w:rsidR="00246929" w:rsidRDefault="00246929" w:rsidP="00246929">
      <w:pPr>
        <w:jc w:val="both"/>
      </w:pPr>
      <w:r>
        <w:t xml:space="preserve">Neni 2 Fushëveprimi: </w:t>
      </w:r>
    </w:p>
    <w:p w14:paraId="2FD3CE0F" w14:textId="77777777" w:rsidR="00246929" w:rsidRDefault="00246929" w:rsidP="00246929">
      <w:pPr>
        <w:jc w:val="both"/>
      </w:pPr>
      <w:r>
        <w:t xml:space="preserve">Koment: Ky nen nuk ka të bëjë me fushëveprimin e ligjit, por përcakton parimet e përgjithshme si dhe përcakton kushtet e zbatimit të tyre nga aspekti </w:t>
      </w:r>
      <w:proofErr w:type="spellStart"/>
      <w:r>
        <w:t>përmbajtësor</w:t>
      </w:r>
      <w:proofErr w:type="spellEnd"/>
      <w:r>
        <w:t xml:space="preserve"> dhe procedural. Si të tilla, duhet të shtohen edhe disa paragrafë tjerë dhe pjesa e fushëveprimit duhet të riformulohet plotësisht. </w:t>
      </w:r>
    </w:p>
    <w:p w14:paraId="6B94E9AB" w14:textId="77777777" w:rsidR="00246929" w:rsidRDefault="00246929" w:rsidP="00246929">
      <w:pPr>
        <w:jc w:val="both"/>
      </w:pPr>
      <w:r>
        <w:t xml:space="preserve">Neni 3, Përkufizimet, paragrafi  1.6 Produkti me karakteristika identike: </w:t>
      </w:r>
    </w:p>
    <w:p w14:paraId="4AD52541" w14:textId="77777777" w:rsidR="00246929" w:rsidRDefault="00246929" w:rsidP="00246929">
      <w:pPr>
        <w:jc w:val="both"/>
      </w:pPr>
      <w:r>
        <w:t xml:space="preserve">Komenti: Termi i përdorur në ligjin aktual është “produkt i </w:t>
      </w:r>
      <w:proofErr w:type="spellStart"/>
      <w:r>
        <w:t>ngjashëm”,e</w:t>
      </w:r>
      <w:proofErr w:type="spellEnd"/>
      <w:r>
        <w:t xml:space="preserve"> jo “produkt me karakteristika identike”, prandaj përkufizimi duhet të ndryshohet. Për më tepër, referenca për </w:t>
      </w:r>
      <w:proofErr w:type="spellStart"/>
      <w:r>
        <w:t>zëvendësueshmërinë</w:t>
      </w:r>
      <w:proofErr w:type="spellEnd"/>
      <w:r>
        <w:t xml:space="preserve"> është fshirë: mund të ketë ndodhur një konfuzion me konceptin e "produkteve të ngjashme ose drejtpërdrejt konkurruese" brenda kuptimit të Marrëveshjes së OBT-së për Masat Mbrojtëse. Për qëllimet e Marrëveshjes për </w:t>
      </w:r>
      <w:proofErr w:type="spellStart"/>
      <w:r>
        <w:t>Antidamping</w:t>
      </w:r>
      <w:proofErr w:type="spellEnd"/>
      <w:r>
        <w:t xml:space="preserve"> (MAD) dhe Detyrimeve </w:t>
      </w:r>
      <w:proofErr w:type="spellStart"/>
      <w:r>
        <w:t>Kundërbalancuese</w:t>
      </w:r>
      <w:proofErr w:type="spellEnd"/>
      <w:r>
        <w:t xml:space="preserve"> (DKB), vetëm produktet "të ngjashme" duhet të krahasohen me produktin e importuar të pretenduar me </w:t>
      </w:r>
      <w:proofErr w:type="spellStart"/>
      <w:r>
        <w:t>damping</w:t>
      </w:r>
      <w:proofErr w:type="spellEnd"/>
      <w:r>
        <w:t xml:space="preserve"> dhe përkufizimi i industrisë vendore përfshin vetëm prodhuesit e "produkteve të ngjashme" në krahasim me "produktet e ngjashme ose drejtpërdrejt konkurruese". Fushëveprimi në MAD/DKB është shumë më i ngushtë.</w:t>
      </w:r>
    </w:p>
    <w:p w14:paraId="6E030A40" w14:textId="77777777" w:rsidR="00246929" w:rsidRDefault="00246929" w:rsidP="00246929">
      <w:pPr>
        <w:jc w:val="both"/>
      </w:pPr>
      <w:r>
        <w:t xml:space="preserve">Neni 3, </w:t>
      </w:r>
      <w:proofErr w:type="spellStart"/>
      <w:r>
        <w:t>nënparagrafi</w:t>
      </w:r>
      <w:proofErr w:type="spellEnd"/>
      <w:r>
        <w:t xml:space="preserve">  1.12 Industria Vendore Kosovare: </w:t>
      </w:r>
    </w:p>
    <w:p w14:paraId="05AD18B6" w14:textId="77777777" w:rsidR="00246929" w:rsidRDefault="00246929" w:rsidP="00246929">
      <w:pPr>
        <w:jc w:val="both"/>
      </w:pPr>
      <w:r>
        <w:t xml:space="preserve">Komenti: Është një konfuzion në mes të 1) Mbështetjes së aplikimit, d.m.th. nëse </w:t>
      </w:r>
      <w:proofErr w:type="spellStart"/>
      <w:r>
        <w:t>aplikantët</w:t>
      </w:r>
      <w:proofErr w:type="spellEnd"/>
      <w:r>
        <w:t xml:space="preserve"> kanë mbështetje të mjaftueshme për të bërë aplikimin në emër të industrisë vendore (rregullat që jepen në ligjin aktual) dhe 2) Përkufizimi i industrisë vendore për qëllimin e përcaktimit të dëmit.</w:t>
      </w:r>
    </w:p>
    <w:p w14:paraId="5C99C17A" w14:textId="77777777" w:rsidR="00246929" w:rsidRDefault="00246929" w:rsidP="00246929">
      <w:pPr>
        <w:jc w:val="both"/>
      </w:pPr>
      <w:r>
        <w:t xml:space="preserve">Në rastin e parë (mbështetja), rregullat janë thjesht procedurale. Ndërsa në rastin e dytë, përkufizimi i industrisë vendore do të jetë vendimtar për përcaktimin e dëmit. Në këtë drejtim, kufizimi i hetimit vetëm tek prodhuesi(ët) ankues do ta bënte vlerësimin e dëmit të njëanshëm që në fillim duke kufizuar grupin e të dhënave. </w:t>
      </w:r>
    </w:p>
    <w:p w14:paraId="11A04A7A" w14:textId="77777777" w:rsidR="00246929" w:rsidRDefault="00246929" w:rsidP="00246929">
      <w:pPr>
        <w:jc w:val="both"/>
      </w:pPr>
      <w:r>
        <w:t>Andaj është e domosdoshme që këto rregulla të mbështetjes/përkrahjes të zëvendësohen me përkufizimin e saktë të "industrisë vendore" në përputhje me rregullat e OBT-së.</w:t>
      </w:r>
    </w:p>
    <w:p w14:paraId="4D55E60A" w14:textId="77777777" w:rsidR="00246929" w:rsidRDefault="00246929" w:rsidP="00246929">
      <w:pPr>
        <w:jc w:val="both"/>
      </w:pPr>
      <w:r>
        <w:t xml:space="preserve">Neni 3, paragrafi 1.15 Periudha e hetimit: </w:t>
      </w:r>
    </w:p>
    <w:p w14:paraId="7366DE8D" w14:textId="77777777" w:rsidR="00246929" w:rsidRDefault="00246929" w:rsidP="00246929">
      <w:pPr>
        <w:jc w:val="both"/>
      </w:pPr>
      <w:r>
        <w:t xml:space="preserve">Komenti: Ekzistojnë dy periudha të ndryshme që duhen dalluar: periudha e mbledhjes së të dhënave për </w:t>
      </w:r>
      <w:proofErr w:type="spellStart"/>
      <w:r>
        <w:t>damping</w:t>
      </w:r>
      <w:proofErr w:type="spellEnd"/>
      <w:r>
        <w:t xml:space="preserve"> ose subvencionim, dhe periudha e hetimit të dëmit e cila është më e gjatë pasi kërkon një analizë të faktorëve ekonomikë me kalimin e kohës. Prandaj, të dyja nuk mund të konsiderohen </w:t>
      </w:r>
      <w:r>
        <w:lastRenderedPageBreak/>
        <w:t>si "periudhë hetimore". Për më tepër, këto periudha janë të përcaktuara në nenet përkatëse në ligj. Pra, nuk ka nevojë të përkufizohen në këtë pjesë të ligjit.</w:t>
      </w:r>
    </w:p>
    <w:p w14:paraId="4C74CE05" w14:textId="77777777" w:rsidR="00246929" w:rsidRDefault="00246929" w:rsidP="00246929">
      <w:pPr>
        <w:jc w:val="both"/>
      </w:pPr>
      <w:r>
        <w:t xml:space="preserve">Neni 3: Të shtohet Produkt i subvencionuar - një produkt konsiderohet i subvencionuar nëse përfiton nga një subvencion i </w:t>
      </w:r>
      <w:proofErr w:type="spellStart"/>
      <w:r>
        <w:t>kundërbalancueshëm</w:t>
      </w:r>
      <w:proofErr w:type="spellEnd"/>
      <w:r>
        <w:t xml:space="preserve"> siç përcaktohet në Nenet përkatëse të ligjit. Subvencionimi i tillë jepet nga Qeveria e vendit të origjinës së produktit të importuar, ose nga Qeveria e një vendi të ndërmjetëm nga i cili produkti eksportohet në Kosovë, i njohur për qëllimet e këtij ligji si "vendi i eksportit"; </w:t>
      </w:r>
    </w:p>
    <w:p w14:paraId="381066F7" w14:textId="77777777" w:rsidR="00246929" w:rsidRDefault="00246929" w:rsidP="00246929">
      <w:pPr>
        <w:jc w:val="both"/>
      </w:pPr>
      <w:r>
        <w:t xml:space="preserve">Neni 3, pika 1.19 Dëmi: </w:t>
      </w:r>
    </w:p>
    <w:p w14:paraId="684AE0B4" w14:textId="77777777" w:rsidR="00246929" w:rsidRDefault="00246929" w:rsidP="00246929">
      <w:pPr>
        <w:jc w:val="both"/>
      </w:pPr>
      <w:r>
        <w:t xml:space="preserve">Komenti: Të riformulohet dëmi si në vijim: Sipas këtij ligji, termi “dëmi”, përveç rasteve kur specifikohet ndryshe, do të merret si dëmtim material për industrinë vendore, kërcënim për dëmtim material për industrinë vendore ose ngecje materiale të zhvillimit të një industrie të tillë dhe do të interpretohet në përputhje me dispozitat e këtij ligji që zbatohen për përcaktimin e dëmit. </w:t>
      </w:r>
    </w:p>
    <w:p w14:paraId="1B9B4477" w14:textId="77777777" w:rsidR="00246929" w:rsidRDefault="00246929" w:rsidP="00246929">
      <w:pPr>
        <w:jc w:val="both"/>
      </w:pPr>
      <w:r>
        <w:t xml:space="preserve">Komenti: Sugjerohet që të largohet. Titulli nuk është i përshtatshëm. Ky nen ka të bëjë me përcaktimin e </w:t>
      </w:r>
      <w:proofErr w:type="spellStart"/>
      <w:r>
        <w:t>dampingut</w:t>
      </w:r>
      <w:proofErr w:type="spellEnd"/>
      <w:r>
        <w:t xml:space="preserve">, jo me zbatimin e masave. </w:t>
      </w:r>
    </w:p>
    <w:p w14:paraId="2E9E525D" w14:textId="77777777" w:rsidR="00246929" w:rsidRDefault="00246929" w:rsidP="00246929">
      <w:pPr>
        <w:jc w:val="both"/>
      </w:pPr>
      <w:r>
        <w:t xml:space="preserve">Neni 4 zëvendësohet me titullin </w:t>
      </w:r>
      <w:proofErr w:type="spellStart"/>
      <w:r>
        <w:t>Dampingu</w:t>
      </w:r>
      <w:proofErr w:type="spellEnd"/>
      <w:r>
        <w:t xml:space="preserve"> 1. Një produkt duhet të konsiderohet si i </w:t>
      </w:r>
      <w:proofErr w:type="spellStart"/>
      <w:r>
        <w:t>dampuar</w:t>
      </w:r>
      <w:proofErr w:type="spellEnd"/>
      <w:r>
        <w:t xml:space="preserve"> nëse çmimi i tij i eksportit në Kosovë është më i vogël se vlera e tij normale.</w:t>
      </w:r>
    </w:p>
    <w:p w14:paraId="0ACA780E" w14:textId="77777777" w:rsidR="00246929" w:rsidRDefault="00246929" w:rsidP="00246929">
      <w:pPr>
        <w:jc w:val="both"/>
      </w:pPr>
      <w:r>
        <w:t xml:space="preserve">2. Për të përcaktuar nëse produktet e importuara kanë qenë apo janë duke u </w:t>
      </w:r>
      <w:proofErr w:type="spellStart"/>
      <w:r>
        <w:t>dampuar</w:t>
      </w:r>
      <w:proofErr w:type="spellEnd"/>
      <w:r>
        <w:t>, Ministria:</w:t>
      </w:r>
    </w:p>
    <w:p w14:paraId="146C6264" w14:textId="77777777" w:rsidR="00246929" w:rsidRDefault="00246929" w:rsidP="00246929">
      <w:pPr>
        <w:jc w:val="both"/>
      </w:pPr>
      <w:r>
        <w:t>-</w:t>
      </w:r>
      <w:r>
        <w:tab/>
        <w:t>Përcakton vlerën normale të produkteve në fjalë;</w:t>
      </w:r>
    </w:p>
    <w:p w14:paraId="1D075DBD" w14:textId="77777777" w:rsidR="00246929" w:rsidRDefault="00246929" w:rsidP="00246929">
      <w:pPr>
        <w:jc w:val="both"/>
      </w:pPr>
      <w:r>
        <w:t>-</w:t>
      </w:r>
      <w:r>
        <w:tab/>
        <w:t>Përcakton çmimin e eksportit të produkteve në fjalë; dhe</w:t>
      </w:r>
    </w:p>
    <w:p w14:paraId="3EA3D31C" w14:textId="77777777" w:rsidR="00246929" w:rsidRDefault="00246929" w:rsidP="00246929">
      <w:pPr>
        <w:jc w:val="both"/>
      </w:pPr>
      <w:r>
        <w:t>-</w:t>
      </w:r>
      <w:r>
        <w:tab/>
        <w:t>Kryen një krahasim të drejtë ndërmjet vlerës normale dhe çmimit të eksportit</w:t>
      </w:r>
    </w:p>
    <w:p w14:paraId="2DE69C89" w14:textId="77777777" w:rsidR="00246929" w:rsidRDefault="00246929" w:rsidP="00246929">
      <w:pPr>
        <w:jc w:val="both"/>
      </w:pPr>
      <w:r>
        <w:t>Neni 5 Vlera normale:</w:t>
      </w:r>
    </w:p>
    <w:p w14:paraId="030FF290" w14:textId="77777777" w:rsidR="00246929" w:rsidRDefault="00246929" w:rsidP="00246929">
      <w:pPr>
        <w:jc w:val="both"/>
      </w:pPr>
      <w:r>
        <w:t>Komenti: Zëvendësohet me Përcaktimi i vlerës normale - Së pari, ligji duhet të përcaktojë vlerën normale dhe metodologjinë bazë për llogaritjen e vlerës normale. Më pas, duhet të përcaktojë dhe të përshkruajë rrethanat në të cilat duhet të ndërtohet vlera normale dhe të ofrojë metodologji alternative të cilave mund t'u drejtohet Ministria kur këto rrethana mbizotërojnë. Për më tepër: ekzistojnë tri rrethana në të cilat Ministria mund të shpërfillë çmimin e krahasueshëm dhe të përdorë metodologji alternative. Disa nga këto rrethana janë përshkruar në këtë nen, ndërsa një tjetër është përshkruar në nenin në vijim (mbi trajtimin e shitjeve nën kosto).</w:t>
      </w:r>
    </w:p>
    <w:p w14:paraId="15D93A09" w14:textId="77777777" w:rsidR="00246929" w:rsidRDefault="00246929" w:rsidP="00246929">
      <w:pPr>
        <w:jc w:val="both"/>
      </w:pPr>
      <w:r>
        <w:t xml:space="preserve">Neni 6 Trajtimi i shitjeve nën kosto duhet të fshihet. </w:t>
      </w:r>
    </w:p>
    <w:p w14:paraId="499415D5" w14:textId="77777777" w:rsidR="00246929" w:rsidRDefault="00246929" w:rsidP="00246929">
      <w:pPr>
        <w:jc w:val="both"/>
      </w:pPr>
      <w:r>
        <w:t>Komenti: Kjo pjesë duhet t'i përkasë nenit për përcaktimin e vlerës normale pasi lidhet me përcaktimin nëse shitjet janë apo jo në rrjedhën normale të tregtisë, pra një nga rrethanat në të cilat Ministria mund të përdorë metodologji alternative për të llogaritur vlerën normale. Të gjitha propozimet rreth këtij neni janë dhënë të detajuara në nenin 5 të draft propozimeve.</w:t>
      </w:r>
    </w:p>
    <w:p w14:paraId="51165D73" w14:textId="77777777" w:rsidR="00246929" w:rsidRDefault="00246929" w:rsidP="00246929">
      <w:pPr>
        <w:jc w:val="both"/>
      </w:pPr>
      <w:r>
        <w:t xml:space="preserve">Neni 18 Përllogaritja e shumës së subvencionit specifik </w:t>
      </w:r>
    </w:p>
    <w:p w14:paraId="620BF325" w14:textId="77777777" w:rsidR="00246929" w:rsidRDefault="00246929" w:rsidP="00246929">
      <w:pPr>
        <w:jc w:val="both"/>
      </w:pPr>
      <w:r>
        <w:lastRenderedPageBreak/>
        <w:t xml:space="preserve">Komenti: Përllogaritja e shumës së subvencionit specifik sugjerohet që të fshihet pasi që neni 34 mbi marrjen e mostrave (i zbatueshëm si për hetimet </w:t>
      </w:r>
      <w:proofErr w:type="spellStart"/>
      <w:r>
        <w:t>antidamping</w:t>
      </w:r>
      <w:proofErr w:type="spellEnd"/>
      <w:r>
        <w:t xml:space="preserve"> ashtu edhe për hetimet kundër subvencioneve) i përcakton tashmë këto parime. </w:t>
      </w:r>
    </w:p>
    <w:p w14:paraId="7F7BC1A2" w14:textId="77777777" w:rsidR="00246929" w:rsidRDefault="00246929" w:rsidP="00246929">
      <w:pPr>
        <w:jc w:val="both"/>
      </w:pPr>
      <w:r>
        <w:t xml:space="preserve">Kreu IV  Përcaktimi i dëmit të riemërohet </w:t>
      </w:r>
    </w:p>
    <w:p w14:paraId="49C052F8" w14:textId="77777777" w:rsidR="00246929" w:rsidRDefault="00246929" w:rsidP="00246929">
      <w:pPr>
        <w:jc w:val="both"/>
      </w:pPr>
      <w:r>
        <w:t xml:space="preserve">Neni 19 Përkufizimi i dëmit </w:t>
      </w:r>
    </w:p>
    <w:p w14:paraId="723BDC51" w14:textId="77777777" w:rsidR="00246929" w:rsidRDefault="00246929" w:rsidP="00246929">
      <w:pPr>
        <w:jc w:val="both"/>
      </w:pPr>
      <w:r>
        <w:t xml:space="preserve">Komenti: Përcaktimi i dëmit dhe lidhja shkak-pasojë, ndërsa neni 19 Përkufizimit i dëmit: Dëmi tashmë është përkufizuar në nenin 3. Nuk ka nevojë të përkufizohet përsëri këtu. Megjithatë, “industria vendore” duhet të përkufizohet. Përkufizimi i dhënë në këtë nen nuk përfshin një dispozitë në lidhje me rrethanat e jashtëzakonshme që kanë të bëjnë me ekzistencën e tregjeve të veçanta në territorin e vendit të importuar, pasi që mund të mos aplikohet për Kosovën (veçanërisht për shkak të madhësisë së saj). </w:t>
      </w:r>
    </w:p>
    <w:p w14:paraId="7D8002A9" w14:textId="77777777" w:rsidR="00246929" w:rsidRDefault="00246929" w:rsidP="00246929">
      <w:pPr>
        <w:jc w:val="both"/>
      </w:pPr>
      <w:r>
        <w:t xml:space="preserve">Neni 28, Vendimi për fillimin e hetimeve: </w:t>
      </w:r>
    </w:p>
    <w:p w14:paraId="32F31BAF" w14:textId="77777777" w:rsidR="00246929" w:rsidRDefault="00246929" w:rsidP="00246929">
      <w:pPr>
        <w:jc w:val="both"/>
      </w:pPr>
      <w:r>
        <w:t xml:space="preserve">Komenti: Pse do të përfshihej Komisioni në vendimin për të </w:t>
      </w:r>
      <w:proofErr w:type="spellStart"/>
      <w:r>
        <w:t>inicuar</w:t>
      </w:r>
      <w:proofErr w:type="spellEnd"/>
      <w:r>
        <w:t xml:space="preserve"> hetimin? Përgjithësisht, në këtë fazë vendimin e merr vetëm autoriteti hetues bazuar në informacionin që ka mbledhur. Është thjesht teknike, jo politike dhe jo çështje e mundësisë (në kundërshtim me vendimin për vendosjen e masave, edhe nëse plotësohen kushtet). Ose autoriteti hetues është i bindur se ka informacion të mjaftueshëm prima </w:t>
      </w:r>
      <w:proofErr w:type="spellStart"/>
      <w:r>
        <w:t>facie</w:t>
      </w:r>
      <w:proofErr w:type="spellEnd"/>
      <w:r>
        <w:t xml:space="preserve"> dhe hetimi duhet të fillojë, ose nuk ka, dhe hetimi nuk duhet të fillojë. </w:t>
      </w:r>
    </w:p>
    <w:p w14:paraId="3379E004" w14:textId="77777777" w:rsidR="00246929" w:rsidRDefault="00246929" w:rsidP="00246929">
      <w:pPr>
        <w:jc w:val="both"/>
      </w:pPr>
      <w:r>
        <w:t>Tek neni 28 sugjerohet te fshihen paragrafët 3, 5.1 dhe 6, dhe të shtohen disa paragrafë tjerë relevant të cilët janë të detajuar në komentet e draft ligjit.</w:t>
      </w:r>
    </w:p>
    <w:p w14:paraId="6593D251" w14:textId="77777777" w:rsidR="00246929" w:rsidRDefault="00246929" w:rsidP="00246929">
      <w:pPr>
        <w:jc w:val="both"/>
      </w:pPr>
      <w:r>
        <w:t>Neni 29 Njoftimi për fillimin e hetimit: sugjerohen riformulim të paragrafëve nga ky nen.</w:t>
      </w:r>
    </w:p>
    <w:p w14:paraId="72F85799" w14:textId="77777777" w:rsidR="00246929" w:rsidRDefault="00246929" w:rsidP="00246929">
      <w:pPr>
        <w:jc w:val="both"/>
      </w:pPr>
      <w:r>
        <w:t xml:space="preserve">Neni 32 Hetimi </w:t>
      </w:r>
    </w:p>
    <w:p w14:paraId="3C45712F" w14:textId="77777777" w:rsidR="00246929" w:rsidRDefault="00246929" w:rsidP="00246929">
      <w:pPr>
        <w:jc w:val="both"/>
      </w:pPr>
      <w:r>
        <w:t xml:space="preserve">Komenti: Sugjerohet ndryshimi i titullit në “Mbledhjen e informatave” – Sugjerohen gjithashtu riformulim të paragrafëve për arsye se ekzistojnë dy periudha të ndryshme që duhet të caktohen për qëllimin e mbledhjes së të dhënave: periudha e hetimit si e tillë (për të përcaktuar </w:t>
      </w:r>
      <w:proofErr w:type="spellStart"/>
      <w:r>
        <w:t>dampingun</w:t>
      </w:r>
      <w:proofErr w:type="spellEnd"/>
      <w:r>
        <w:t xml:space="preserve"> ose subvencionimin) dhe periudha e hetimit për përcaktimin e dëmit.</w:t>
      </w:r>
    </w:p>
    <w:p w14:paraId="4F13E16E" w14:textId="77777777" w:rsidR="00246929" w:rsidRDefault="00246929" w:rsidP="00246929">
      <w:pPr>
        <w:jc w:val="both"/>
      </w:pPr>
    </w:p>
    <w:p w14:paraId="48BC0C22" w14:textId="77777777" w:rsidR="00246929" w:rsidRDefault="00246929" w:rsidP="00246929">
      <w:pPr>
        <w:jc w:val="both"/>
      </w:pPr>
      <w:r>
        <w:t>Neni 33 Seanca shqyrtuese</w:t>
      </w:r>
    </w:p>
    <w:p w14:paraId="712A3FA7" w14:textId="77777777" w:rsidR="00246929" w:rsidRDefault="00246929" w:rsidP="00246929">
      <w:pPr>
        <w:jc w:val="both"/>
      </w:pPr>
      <w:r>
        <w:t xml:space="preserve">Komenti: Sugjerohet në “Procesi i rregullt dhe seanca dëgjimore”-  </w:t>
      </w:r>
      <w:proofErr w:type="spellStart"/>
      <w:r>
        <w:t>Ndëra</w:t>
      </w:r>
      <w:proofErr w:type="spellEnd"/>
      <w:r>
        <w:t xml:space="preserve"> sugjerimi tjetër është që të përfshihen  dispozitat mbi procesin e rregullt/të drejtat e mbrojtjes, si dhe të barten nën-paragrafët 7, 8 dhe 10 të nenit aktual 32. Dispozitat e procesit të rregullt ligjor bazohen në nenin 6.2 të Marrëveshjes </w:t>
      </w:r>
      <w:proofErr w:type="spellStart"/>
      <w:r>
        <w:t>Antidumping</w:t>
      </w:r>
      <w:proofErr w:type="spellEnd"/>
      <w:r>
        <w:t>. Sugjerohet ristrukturim komplet i këtij neni.</w:t>
      </w:r>
    </w:p>
    <w:p w14:paraId="7CD8D88F" w14:textId="77777777" w:rsidR="00246929" w:rsidRDefault="00246929" w:rsidP="00246929">
      <w:pPr>
        <w:jc w:val="both"/>
      </w:pPr>
      <w:r>
        <w:t xml:space="preserve">Neni 36, Zbulimi i informatave: </w:t>
      </w:r>
    </w:p>
    <w:p w14:paraId="25F8DF8F" w14:textId="77777777" w:rsidR="00246929" w:rsidRDefault="00246929" w:rsidP="00246929">
      <w:pPr>
        <w:jc w:val="both"/>
      </w:pPr>
      <w:r>
        <w:t xml:space="preserve">Komenti: Paragrafi 4, sugjerohet që afati i mbledhjes së informatave të harmonizohet sipas rregullores së BE-se dhe të zvogëlohet nga 14 ditë në 10 ditë. Gjithashtu sugjerohet që </w:t>
      </w:r>
      <w:proofErr w:type="spellStart"/>
      <w:r>
        <w:t>nënparagrafet</w:t>
      </w:r>
      <w:proofErr w:type="spellEnd"/>
      <w:r>
        <w:t xml:space="preserve"> 5 dhe 6 të zhvendosen nga ky nen dhe të kalojnë te neni 42 Njoftimi publik për përfundimin e hetimeve pa vendosje të detyrimeve. </w:t>
      </w:r>
    </w:p>
    <w:p w14:paraId="57A5434B" w14:textId="77777777" w:rsidR="00246929" w:rsidRDefault="00246929" w:rsidP="00246929">
      <w:pPr>
        <w:jc w:val="both"/>
      </w:pPr>
      <w:r>
        <w:lastRenderedPageBreak/>
        <w:t>Neni 37 Verifikimet</w:t>
      </w:r>
    </w:p>
    <w:p w14:paraId="7A1385FC" w14:textId="77777777" w:rsidR="00246929" w:rsidRDefault="00246929" w:rsidP="00246929">
      <w:pPr>
        <w:jc w:val="both"/>
      </w:pPr>
      <w:r>
        <w:t>Komenti: Sugjerohet që të shtohet në titull edhe “Dëshmia”, pasi termi “verifikime” ka një kuptim më të ngushtë, (pra verifikime në vend). Ky neni do të zgjerohet për të përfshirë rregullat e përgjithshme për ofrimin dhe trajtimin e provave.</w:t>
      </w:r>
    </w:p>
    <w:p w14:paraId="5A080A68" w14:textId="77777777" w:rsidR="00246929" w:rsidRDefault="00246929" w:rsidP="00246929">
      <w:pPr>
        <w:jc w:val="both"/>
      </w:pPr>
      <w:r>
        <w:t xml:space="preserve">Neni 38, </w:t>
      </w:r>
      <w:proofErr w:type="spellStart"/>
      <w:r>
        <w:t>Konfidencialiteti</w:t>
      </w:r>
      <w:proofErr w:type="spellEnd"/>
    </w:p>
    <w:p w14:paraId="01842D59" w14:textId="77777777" w:rsidR="00246929" w:rsidRDefault="00246929" w:rsidP="00246929">
      <w:pPr>
        <w:jc w:val="both"/>
      </w:pPr>
      <w:proofErr w:type="spellStart"/>
      <w:r>
        <w:t>Komenti:Sugjerohet</w:t>
      </w:r>
      <w:proofErr w:type="spellEnd"/>
      <w:r>
        <w:t xml:space="preserve"> që paragrafi 4 të riformulohet dhe të jetë në harmoni me Marrëveshjen e </w:t>
      </w:r>
      <w:proofErr w:type="spellStart"/>
      <w:r>
        <w:t>Antidampingut</w:t>
      </w:r>
      <w:proofErr w:type="spellEnd"/>
      <w:r>
        <w:t>.</w:t>
      </w:r>
    </w:p>
    <w:p w14:paraId="46CC6295" w14:textId="77777777" w:rsidR="00246929" w:rsidRDefault="00246929" w:rsidP="00246929">
      <w:pPr>
        <w:jc w:val="both"/>
      </w:pPr>
      <w:r>
        <w:t>Kreu VII Përfundimi i Hetimit-Neni 39 Detyrimet e përkohshme</w:t>
      </w:r>
    </w:p>
    <w:p w14:paraId="29EED143" w14:textId="77777777" w:rsidR="00246929" w:rsidRDefault="00246929" w:rsidP="00246929">
      <w:pPr>
        <w:jc w:val="both"/>
      </w:pPr>
      <w:r>
        <w:t>Komenti: Sugjerohet të ndryshohet titulli i kreut me Dispozitat e Përgjithshme Mbi Vendimet e Ministrisë - Ky nen për detyrimet e përkohshme nuk duhet të përfshihet në kapitullin "përfundimi i hetimit" pasi hetimi nuk është përfunduar në këtë fazë. Rekomandohet që titulli i kapitullit të modifikohet në përputhje me rrethanat.</w:t>
      </w:r>
    </w:p>
    <w:p w14:paraId="49DEC231" w14:textId="77777777" w:rsidR="00246929" w:rsidRDefault="00246929" w:rsidP="00246929">
      <w:pPr>
        <w:jc w:val="both"/>
      </w:pPr>
      <w:r>
        <w:t xml:space="preserve">Sugjerohet që detyrimet e përkohshme </w:t>
      </w:r>
      <w:proofErr w:type="spellStart"/>
      <w:r>
        <w:t>antidamping</w:t>
      </w:r>
      <w:proofErr w:type="spellEnd"/>
      <w:r>
        <w:t xml:space="preserve"> të reduktohen nga 6 muaj që është të bëhet 4 muaj, kjo sipas Marrëveshjes për Subvencione dhe Masat </w:t>
      </w:r>
      <w:proofErr w:type="spellStart"/>
      <w:r>
        <w:t>Kundërbalancuese</w:t>
      </w:r>
      <w:proofErr w:type="spellEnd"/>
      <w:r>
        <w:t>.</w:t>
      </w:r>
    </w:p>
    <w:p w14:paraId="01CCBD41" w14:textId="77777777" w:rsidR="00246929" w:rsidRDefault="00246929" w:rsidP="00246929">
      <w:pPr>
        <w:jc w:val="both"/>
      </w:pPr>
      <w:r>
        <w:t>Neni 42 Njoftimi publik për përfundimin e hetimeve pa vendosje të detyrimeve</w:t>
      </w:r>
    </w:p>
    <w:p w14:paraId="268505DC" w14:textId="77777777" w:rsidR="00246929" w:rsidRDefault="00246929" w:rsidP="00246929">
      <w:pPr>
        <w:jc w:val="both"/>
      </w:pPr>
      <w:r>
        <w:t xml:space="preserve">Komenti:  Njoftimi publik për përfundimin e hetimeve pa vendosje të detyrimeve: ndryshohet në Njoftimi publik i </w:t>
      </w:r>
      <w:proofErr w:type="spellStart"/>
      <w:r>
        <w:t>vendimeve:Kjo</w:t>
      </w:r>
      <w:proofErr w:type="spellEnd"/>
      <w:r>
        <w:t xml:space="preserve"> vlen jo vetëm për vendimet për të mos vendosur masa. Rregullat për njoftimin publik të vendimeve përcaktohen në nenin 12.2 të Marrëveshjes </w:t>
      </w:r>
      <w:proofErr w:type="spellStart"/>
      <w:r>
        <w:t>Antidumping</w:t>
      </w:r>
      <w:proofErr w:type="spellEnd"/>
      <w:r>
        <w:t xml:space="preserve"> dhe nenin 22 të Marrëveshjes për Subvencioneve dhe Masave </w:t>
      </w:r>
      <w:proofErr w:type="spellStart"/>
      <w:r>
        <w:t>Kundërbalancuese</w:t>
      </w:r>
      <w:proofErr w:type="spellEnd"/>
      <w:r>
        <w:t xml:space="preserve"> "Njoftimi Publik dhe Shpjegimi i Përcaktimeve". </w:t>
      </w:r>
    </w:p>
    <w:p w14:paraId="583E98F2" w14:textId="77777777" w:rsidR="00246929" w:rsidRDefault="00246929" w:rsidP="00246929">
      <w:pPr>
        <w:jc w:val="both"/>
      </w:pPr>
      <w:r>
        <w:t>Neni 46 Kohëzgjatja</w:t>
      </w:r>
    </w:p>
    <w:p w14:paraId="747E6C74" w14:textId="77777777" w:rsidR="00246929" w:rsidRDefault="00246929" w:rsidP="00246929">
      <w:pPr>
        <w:jc w:val="both"/>
      </w:pPr>
      <w:r>
        <w:t xml:space="preserve">Komenti: Sugjerohet që titulli të ndryshohet në Kohëzgjatja, shqyrtimi i ndërmjetëm dhe skadimi i afatit: Në shqyrtimin e ndërmjetëm dhe skadimi i afatit duhet të merret parasysh neni 11 i Marrëveshjes për </w:t>
      </w:r>
      <w:proofErr w:type="spellStart"/>
      <w:r>
        <w:t>Antidamping</w:t>
      </w:r>
      <w:proofErr w:type="spellEnd"/>
      <w:r>
        <w:t>.</w:t>
      </w:r>
    </w:p>
    <w:p w14:paraId="21C91B60" w14:textId="77777777" w:rsidR="00DF4BBA" w:rsidRDefault="00DF4BBA" w:rsidP="00DF4BBA">
      <w:pPr>
        <w:jc w:val="both"/>
      </w:pPr>
      <w:r>
        <w:t>Neni 47, Shqyrtimi i afatit të skadimit: Ky nen nuk është i obligueshëm. Mjafton të thuhet se dispozitat në lidhje me provat dhe procedurën e zbatueshme për hetimin fillestar zbatohen edhe për shqyrtimin. Një pjesë e këtij neni sugjerohet të bartet te Neni 46.</w:t>
      </w:r>
    </w:p>
    <w:p w14:paraId="57ABB35B" w14:textId="3B2C081E" w:rsidR="00246929" w:rsidRDefault="00DF4BBA" w:rsidP="00DF4BBA">
      <w:pPr>
        <w:jc w:val="both"/>
      </w:pPr>
      <w:r>
        <w:t>Neni 48, Shqyrtimi i ndërmjetëm: Sugjerohet të bartet te neni 46</w:t>
      </w:r>
      <w:r w:rsidR="00246929">
        <w:t>.</w:t>
      </w:r>
    </w:p>
    <w:p w14:paraId="710C7DAD" w14:textId="77777777" w:rsidR="00246929" w:rsidRDefault="00246929" w:rsidP="00246929">
      <w:pPr>
        <w:jc w:val="both"/>
      </w:pPr>
      <w:r>
        <w:t>Neni 49 Shqyrtimi i kërkesës të eksportuesve/importuesve të ri</w:t>
      </w:r>
    </w:p>
    <w:p w14:paraId="6FBEA898" w14:textId="073E4AF7" w:rsidR="00C92E14" w:rsidRDefault="00246929" w:rsidP="00246929">
      <w:pPr>
        <w:jc w:val="both"/>
      </w:pPr>
      <w:r>
        <w:t xml:space="preserve">Komenti: Sugjerohet që titulli të emërtohet “Shqyrtimi i eksportuesit të ri”. Paragrafi 1 të </w:t>
      </w:r>
      <w:proofErr w:type="spellStart"/>
      <w:r>
        <w:t>ridraftohet</w:t>
      </w:r>
      <w:proofErr w:type="spellEnd"/>
      <w:r>
        <w:t>!</w:t>
      </w:r>
    </w:p>
    <w:p w14:paraId="16E556CB" w14:textId="6261FD89" w:rsidR="00970A45" w:rsidRDefault="00970A45" w:rsidP="00246929">
      <w:pPr>
        <w:jc w:val="both"/>
      </w:pPr>
      <w:r w:rsidRPr="00970A45">
        <w:t xml:space="preserve">Gjatë vendosjes, Kosova do t'i kushtojë vëmendje të veçantë burimeve dhe kapaciteteve të autoritetit hetimor. Për ta bërë këtë, jo vetëm që duhet të vlerësojë  nivelin e burimeve dhe kapaciteteve të nevojshme për kryerjen e hetimeve standarde brenda afateve më të shkurtra kohore, por edhe hetimet që do të jenë në përputhje me rregullat e tjera të reja që Kosova mund të konsiderojë të miratojë </w:t>
      </w:r>
      <w:r w:rsidRPr="00970A45">
        <w:lastRenderedPageBreak/>
        <w:t>(metodologjia e re, llogaritjet për përcaktimin e zbatimit të rregullit të tarifës më të vogël, llogaritjet kompl</w:t>
      </w:r>
      <w:r>
        <w:t>ekse të çmimeve të synuara, etj.)</w:t>
      </w:r>
    </w:p>
    <w:p w14:paraId="71DA4372" w14:textId="6A20034B" w:rsidR="00E673E6" w:rsidRPr="00405F50" w:rsidRDefault="00C92E14" w:rsidP="001F7812">
      <w:pPr>
        <w:jc w:val="both"/>
        <w:rPr>
          <w:rFonts w:cs="Times New Roman"/>
          <w:b/>
          <w:szCs w:val="24"/>
        </w:rPr>
      </w:pPr>
      <w:r w:rsidRPr="00405F50">
        <w:rPr>
          <w:rFonts w:cs="Times New Roman"/>
          <w:b/>
          <w:szCs w:val="24"/>
        </w:rPr>
        <w:t xml:space="preserve">Prandaj, Opsioni </w:t>
      </w:r>
      <w:r w:rsidR="00D52D5E" w:rsidRPr="00405F50">
        <w:rPr>
          <w:rFonts w:cs="Times New Roman"/>
          <w:b/>
          <w:szCs w:val="24"/>
        </w:rPr>
        <w:t>3</w:t>
      </w:r>
      <w:r w:rsidRPr="00405F50">
        <w:rPr>
          <w:rFonts w:cs="Times New Roman"/>
          <w:b/>
          <w:szCs w:val="24"/>
        </w:rPr>
        <w:t xml:space="preserve"> duket të jetë i vetmi opsion i duhur i politikës për të shtjelluar problemin kryesor të identifikuar në këtë dokument</w:t>
      </w:r>
      <w:bookmarkStart w:id="18" w:name="_Toc66089562"/>
      <w:bookmarkStart w:id="19" w:name="_Toc69198227"/>
      <w:r w:rsidR="003870D3">
        <w:rPr>
          <w:rFonts w:cs="Times New Roman"/>
          <w:b/>
          <w:szCs w:val="24"/>
        </w:rPr>
        <w:t>.</w:t>
      </w:r>
    </w:p>
    <w:p w14:paraId="1FA1C978" w14:textId="5D5A4EDE" w:rsidR="00C92E14" w:rsidRDefault="00C92E14" w:rsidP="00CE7960">
      <w:pPr>
        <w:pStyle w:val="Heading1"/>
        <w:rPr>
          <w:rFonts w:ascii="Times New Roman" w:hAnsi="Times New Roman" w:cs="Times New Roman"/>
          <w:b/>
        </w:rPr>
      </w:pPr>
      <w:r w:rsidRPr="00937662">
        <w:rPr>
          <w:rFonts w:ascii="Times New Roman" w:hAnsi="Times New Roman" w:cs="Times New Roman"/>
          <w:b/>
        </w:rPr>
        <w:t>Kapitulli 4: Identifikimi dhe vlerësimi i ndikimeve në të ardhmen</w:t>
      </w:r>
      <w:bookmarkEnd w:id="18"/>
      <w:bookmarkEnd w:id="19"/>
    </w:p>
    <w:p w14:paraId="692B43E3" w14:textId="77777777" w:rsidR="003870D3" w:rsidRPr="00BF4475" w:rsidRDefault="003870D3" w:rsidP="00466FE1"/>
    <w:p w14:paraId="1CBABA71" w14:textId="67CC8199" w:rsidR="00C92E14" w:rsidRPr="00937662" w:rsidRDefault="00C92E14" w:rsidP="00E673E6">
      <w:pPr>
        <w:jc w:val="both"/>
      </w:pPr>
      <w:r w:rsidRPr="00937662">
        <w:t xml:space="preserve">Tabela më poshtë rendit ndikimet më të rëndësishme që janë identifikuar. Anekset 1 deri 4 tregojnë; vlerësimin e të gjitha ndikimeve, bazuar në mjete për identifikimin e ndikimeve ekonomike, sociale, mjedisore  por dhe ndikimet në të drejtat themelore. Këto mjete renditen në Doracakun për </w:t>
      </w:r>
      <w:r w:rsidR="003870D3">
        <w:t xml:space="preserve">Hartimin e </w:t>
      </w:r>
      <w:r w:rsidRPr="00937662">
        <w:t>Koncept Dokumenteve. Të katër anekset gjithashtu tregojnë vlerësimin e rëndësisë së ndikimeve të ndryshme dhe nivelin e preferuar të analizës.</w:t>
      </w:r>
    </w:p>
    <w:p w14:paraId="428F3D38" w14:textId="77777777" w:rsidR="00C92E14" w:rsidRPr="00937662" w:rsidRDefault="00C92E14" w:rsidP="00C92E14">
      <w:pPr>
        <w:rPr>
          <w:lang w:val="en-GB"/>
        </w:rPr>
      </w:pPr>
    </w:p>
    <w:p w14:paraId="5DF1C060" w14:textId="500322E7" w:rsidR="00CE7960" w:rsidRPr="00937662" w:rsidRDefault="00CE7960" w:rsidP="00CE7960">
      <w:pPr>
        <w:pStyle w:val="Caption"/>
        <w:keepNext/>
        <w:rPr>
          <w:b/>
          <w:color w:val="2E74B5" w:themeColor="accent1" w:themeShade="BF"/>
          <w:sz w:val="24"/>
          <w:szCs w:val="24"/>
        </w:rPr>
      </w:pPr>
      <w:r w:rsidRPr="00937662">
        <w:rPr>
          <w:b/>
          <w:color w:val="2E74B5" w:themeColor="accent1" w:themeShade="BF"/>
          <w:sz w:val="24"/>
          <w:szCs w:val="24"/>
        </w:rPr>
        <w:t xml:space="preserve">Tabela </w:t>
      </w:r>
      <w:r w:rsidR="00A717EE">
        <w:rPr>
          <w:b/>
          <w:color w:val="2E74B5" w:themeColor="accent1" w:themeShade="BF"/>
          <w:sz w:val="24"/>
          <w:szCs w:val="24"/>
        </w:rPr>
        <w:t>6</w:t>
      </w:r>
      <w:r w:rsidRPr="00937662">
        <w:rPr>
          <w:b/>
          <w:color w:val="2E74B5" w:themeColor="accent1" w:themeShade="BF"/>
          <w:sz w:val="24"/>
          <w:szCs w:val="24"/>
        </w:rPr>
        <w:t xml:space="preserve"> Ndikimet më të rëndësishme të identifikuara sipas kategorisë së ndikimit</w:t>
      </w:r>
    </w:p>
    <w:p w14:paraId="0C2C61B7" w14:textId="60233167" w:rsidR="00C92E14" w:rsidRPr="00937662" w:rsidRDefault="00C92E14" w:rsidP="00C92E14">
      <w:pPr>
        <w:rPr>
          <w:b/>
          <w:bCs/>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2219"/>
        <w:gridCol w:w="2268"/>
        <w:gridCol w:w="2447"/>
      </w:tblGrid>
      <w:tr w:rsidR="00C92E14" w:rsidRPr="00937662" w14:paraId="2A06EB59" w14:textId="77777777" w:rsidTr="00646EBE">
        <w:trPr>
          <w:trHeight w:val="163"/>
          <w:jc w:val="center"/>
        </w:trPr>
        <w:tc>
          <w:tcPr>
            <w:tcW w:w="1362" w:type="pct"/>
            <w:shd w:val="clear" w:color="auto" w:fill="9CC2E5" w:themeFill="accent1" w:themeFillTint="99"/>
            <w:vAlign w:val="center"/>
          </w:tcPr>
          <w:p w14:paraId="1DAD7130" w14:textId="77777777" w:rsidR="00C92E14" w:rsidRPr="00937662" w:rsidRDefault="00C92E14" w:rsidP="00C92E14">
            <w:pPr>
              <w:rPr>
                <w:b/>
              </w:rPr>
            </w:pPr>
            <w:r w:rsidRPr="00937662">
              <w:rPr>
                <w:b/>
              </w:rPr>
              <w:t>Kategoria e ndikimeve të mundshme</w:t>
            </w:r>
          </w:p>
        </w:tc>
        <w:tc>
          <w:tcPr>
            <w:tcW w:w="1164" w:type="pct"/>
            <w:shd w:val="clear" w:color="auto" w:fill="9CC2E5" w:themeFill="accent1" w:themeFillTint="99"/>
            <w:vAlign w:val="center"/>
          </w:tcPr>
          <w:p w14:paraId="21DC11C3" w14:textId="77777777" w:rsidR="00C92E14" w:rsidRPr="00937662" w:rsidRDefault="00C92E14" w:rsidP="00C92E14">
            <w:pPr>
              <w:rPr>
                <w:b/>
              </w:rPr>
            </w:pPr>
            <w:r w:rsidRPr="00937662">
              <w:rPr>
                <w:b/>
              </w:rPr>
              <w:t>Opsioni 1</w:t>
            </w:r>
          </w:p>
        </w:tc>
        <w:tc>
          <w:tcPr>
            <w:tcW w:w="1190" w:type="pct"/>
            <w:shd w:val="clear" w:color="auto" w:fill="9CC2E5" w:themeFill="accent1" w:themeFillTint="99"/>
          </w:tcPr>
          <w:p w14:paraId="12A218B8" w14:textId="77777777" w:rsidR="00C92E14" w:rsidRPr="00937662" w:rsidRDefault="00C92E14" w:rsidP="00C92E14">
            <w:pPr>
              <w:rPr>
                <w:b/>
              </w:rPr>
            </w:pPr>
            <w:r w:rsidRPr="00937662">
              <w:rPr>
                <w:b/>
              </w:rPr>
              <w:t>Opsioni 2</w:t>
            </w:r>
          </w:p>
        </w:tc>
        <w:tc>
          <w:tcPr>
            <w:tcW w:w="1284" w:type="pct"/>
            <w:shd w:val="clear" w:color="auto" w:fill="9CC2E5" w:themeFill="accent1" w:themeFillTint="99"/>
            <w:vAlign w:val="center"/>
          </w:tcPr>
          <w:p w14:paraId="6F9B0B21" w14:textId="77777777" w:rsidR="00C92E14" w:rsidRPr="00937662" w:rsidRDefault="00C92E14" w:rsidP="00C92E14">
            <w:pPr>
              <w:rPr>
                <w:b/>
              </w:rPr>
            </w:pPr>
            <w:r w:rsidRPr="00937662">
              <w:rPr>
                <w:b/>
              </w:rPr>
              <w:t>Opsioni 3</w:t>
            </w:r>
          </w:p>
        </w:tc>
      </w:tr>
      <w:tr w:rsidR="00C92E14" w:rsidRPr="00937662" w14:paraId="7EBE2593" w14:textId="77777777" w:rsidTr="00646EBE">
        <w:trPr>
          <w:trHeight w:val="163"/>
          <w:jc w:val="center"/>
        </w:trPr>
        <w:tc>
          <w:tcPr>
            <w:tcW w:w="1362" w:type="pct"/>
            <w:shd w:val="clear" w:color="auto" w:fill="9CC2E5" w:themeFill="accent1" w:themeFillTint="99"/>
          </w:tcPr>
          <w:p w14:paraId="667F80A2" w14:textId="77777777" w:rsidR="00C92E14" w:rsidRPr="00937662" w:rsidRDefault="00C92E14" w:rsidP="00C92E14">
            <w:pPr>
              <w:rPr>
                <w:b/>
                <w:lang w:val="en-GB"/>
              </w:rPr>
            </w:pPr>
          </w:p>
          <w:p w14:paraId="4476B5BF" w14:textId="77777777" w:rsidR="00C92E14" w:rsidRPr="00937662" w:rsidRDefault="00C92E14" w:rsidP="00C92E14">
            <w:pPr>
              <w:rPr>
                <w:b/>
                <w:lang w:val="en-GB"/>
              </w:rPr>
            </w:pPr>
          </w:p>
          <w:p w14:paraId="192733A2" w14:textId="77777777" w:rsidR="00C92E14" w:rsidRPr="00937662" w:rsidRDefault="00C92E14" w:rsidP="00C92E14">
            <w:pPr>
              <w:rPr>
                <w:b/>
              </w:rPr>
            </w:pPr>
            <w:r w:rsidRPr="00937662">
              <w:rPr>
                <w:b/>
              </w:rPr>
              <w:t xml:space="preserve">Ndikimet ekonomike </w:t>
            </w:r>
          </w:p>
        </w:tc>
        <w:tc>
          <w:tcPr>
            <w:tcW w:w="1164" w:type="pct"/>
            <w:vAlign w:val="center"/>
          </w:tcPr>
          <w:p w14:paraId="0FF4A020" w14:textId="38B9BEE0" w:rsidR="00C92E14" w:rsidRPr="00937662" w:rsidRDefault="00C92E14" w:rsidP="00D52D5E">
            <w:r w:rsidRPr="00937662">
              <w:t xml:space="preserve">Ndikimi negativ pasi tregu nuk është plotësisht </w:t>
            </w:r>
            <w:r w:rsidR="00D52D5E">
              <w:t>i mbrojtur</w:t>
            </w:r>
          </w:p>
        </w:tc>
        <w:tc>
          <w:tcPr>
            <w:tcW w:w="1190" w:type="pct"/>
          </w:tcPr>
          <w:p w14:paraId="36AFB009" w14:textId="4ED2F482" w:rsidR="00C92E14" w:rsidRPr="00937662" w:rsidRDefault="00C92E14" w:rsidP="00D27B3E">
            <w:pPr>
              <w:jc w:val="both"/>
            </w:pPr>
            <w:r w:rsidRPr="00937662">
              <w:t xml:space="preserve">Ndikim i </w:t>
            </w:r>
            <w:r w:rsidR="00D27B3E">
              <w:t>theksuar</w:t>
            </w:r>
            <w:r w:rsidRPr="00937662">
              <w:t xml:space="preserve"> me ku</w:t>
            </w:r>
            <w:r w:rsidR="00D27B3E">
              <w:t>sht që efikasiteti i sistemit do të përmirësohej</w:t>
            </w:r>
            <w:r w:rsidRPr="00937662">
              <w:t xml:space="preserve">. </w:t>
            </w:r>
          </w:p>
        </w:tc>
        <w:tc>
          <w:tcPr>
            <w:tcW w:w="1284" w:type="pct"/>
            <w:vAlign w:val="center"/>
          </w:tcPr>
          <w:p w14:paraId="0D011CE5" w14:textId="748A352B" w:rsidR="00C92E14" w:rsidRPr="00937662" w:rsidRDefault="0035486A" w:rsidP="0017205A">
            <w:r>
              <w:t xml:space="preserve">Mbrojtja nga importet e  produkteve të </w:t>
            </w:r>
            <w:proofErr w:type="spellStart"/>
            <w:r>
              <w:t>dampuara</w:t>
            </w:r>
            <w:proofErr w:type="spellEnd"/>
            <w:r>
              <w:t xml:space="preserve"> do të krijonte një treg të </w:t>
            </w:r>
            <w:proofErr w:type="spellStart"/>
            <w:r>
              <w:t>balansuar</w:t>
            </w:r>
            <w:proofErr w:type="spellEnd"/>
            <w:r>
              <w:t xml:space="preserve">, rrjedhimisht do të  hapte mundësi që prodhuesit vendor të </w:t>
            </w:r>
            <w:r w:rsidR="00E81C3C">
              <w:t>zgjerojn</w:t>
            </w:r>
            <w:r w:rsidR="00E81C3C" w:rsidRPr="00937662">
              <w:t>ë</w:t>
            </w:r>
            <w:r w:rsidR="00E81C3C">
              <w:t xml:space="preserve"> </w:t>
            </w:r>
            <w:r>
              <w:t xml:space="preserve">tregun dhe të jenë konkurrent në </w:t>
            </w:r>
            <w:r w:rsidR="00E81C3C">
              <w:t>tregun nd</w:t>
            </w:r>
            <w:r w:rsidR="00E81C3C" w:rsidRPr="00937662">
              <w:t>ë</w:t>
            </w:r>
            <w:r w:rsidR="00E81C3C">
              <w:t>rkomb</w:t>
            </w:r>
            <w:r w:rsidR="00E81C3C" w:rsidRPr="00937662">
              <w:t>ë</w:t>
            </w:r>
            <w:r w:rsidR="00E81C3C">
              <w:t xml:space="preserve">tar dhe </w:t>
            </w:r>
            <w:r w:rsidR="0017205A">
              <w:t>t</w:t>
            </w:r>
            <w:r w:rsidR="0017205A" w:rsidRPr="00937662">
              <w:t>ë</w:t>
            </w:r>
            <w:r w:rsidR="0017205A">
              <w:t xml:space="preserve"> </w:t>
            </w:r>
            <w:r w:rsidR="00E81C3C">
              <w:t>p</w:t>
            </w:r>
            <w:r w:rsidR="00E81C3C" w:rsidRPr="00937662">
              <w:t>ë</w:t>
            </w:r>
            <w:r w:rsidR="00E81C3C">
              <w:t>rmir</w:t>
            </w:r>
            <w:r w:rsidR="00E81C3C" w:rsidRPr="00937662">
              <w:t>ë</w:t>
            </w:r>
            <w:r w:rsidR="00E81C3C">
              <w:t>s</w:t>
            </w:r>
            <w:r w:rsidR="0017205A">
              <w:t>ohet</w:t>
            </w:r>
            <w:r w:rsidR="00E81C3C">
              <w:t xml:space="preserve"> bilanci tregtar</w:t>
            </w:r>
            <w:r w:rsidR="00C92E14" w:rsidRPr="00937662">
              <w:t>.</w:t>
            </w:r>
          </w:p>
        </w:tc>
      </w:tr>
      <w:tr w:rsidR="00C92E14" w:rsidRPr="00937662" w14:paraId="060A50D4" w14:textId="77777777" w:rsidTr="00646EBE">
        <w:trPr>
          <w:trHeight w:val="163"/>
          <w:jc w:val="center"/>
        </w:trPr>
        <w:tc>
          <w:tcPr>
            <w:tcW w:w="1362" w:type="pct"/>
            <w:shd w:val="clear" w:color="auto" w:fill="9CC2E5" w:themeFill="accent1" w:themeFillTint="99"/>
          </w:tcPr>
          <w:p w14:paraId="28F6CA78" w14:textId="3C80E34B" w:rsidR="00C92E14" w:rsidRPr="00937662" w:rsidRDefault="00C92E14" w:rsidP="00313979">
            <w:pPr>
              <w:rPr>
                <w:b/>
                <w:lang w:val="en-GB"/>
              </w:rPr>
            </w:pPr>
            <w:r w:rsidRPr="00937662">
              <w:rPr>
                <w:b/>
              </w:rPr>
              <w:t xml:space="preserve">Ndikimet sociale </w:t>
            </w:r>
          </w:p>
        </w:tc>
        <w:tc>
          <w:tcPr>
            <w:tcW w:w="1164" w:type="pct"/>
          </w:tcPr>
          <w:p w14:paraId="1EC228AD" w14:textId="3A5A7646" w:rsidR="00C92E14" w:rsidRPr="00937662" w:rsidRDefault="00313979" w:rsidP="00C92E14">
            <w:r>
              <w:t>Pa ndikim</w:t>
            </w:r>
          </w:p>
        </w:tc>
        <w:tc>
          <w:tcPr>
            <w:tcW w:w="1190" w:type="pct"/>
          </w:tcPr>
          <w:p w14:paraId="199F287A" w14:textId="04A32D05" w:rsidR="00C92E14" w:rsidRPr="00937662" w:rsidRDefault="00313979" w:rsidP="00C92E14">
            <w:r>
              <w:t>Pa ndikim</w:t>
            </w:r>
          </w:p>
        </w:tc>
        <w:tc>
          <w:tcPr>
            <w:tcW w:w="1284" w:type="pct"/>
          </w:tcPr>
          <w:p w14:paraId="09E08992" w14:textId="7526B239" w:rsidR="00C92E14" w:rsidRPr="00937662" w:rsidRDefault="0035486A" w:rsidP="0035486A">
            <w:r>
              <w:t>N</w:t>
            </w:r>
            <w:r w:rsidR="00313979" w:rsidRPr="00313979">
              <w:t xml:space="preserve">dikim </w:t>
            </w:r>
            <w:r>
              <w:t xml:space="preserve">i theksuar për arsye se prodhuesit vendor do të jenë më </w:t>
            </w:r>
            <w:proofErr w:type="spellStart"/>
            <w:r>
              <w:t>stabil</w:t>
            </w:r>
            <w:proofErr w:type="spellEnd"/>
            <w:r>
              <w:t xml:space="preserve"> dhe do të krijohe</w:t>
            </w:r>
            <w:r w:rsidR="00E81C3C">
              <w:t>n</w:t>
            </w:r>
            <w:r>
              <w:t xml:space="preserve"> mundësi për vende të reja pune</w:t>
            </w:r>
            <w:r w:rsidR="0017205A">
              <w:t xml:space="preserve"> dhe stabilitet t</w:t>
            </w:r>
            <w:r w:rsidR="0017205A" w:rsidRPr="00937662">
              <w:t>ë</w:t>
            </w:r>
            <w:r w:rsidR="0017205A">
              <w:t xml:space="preserve"> shtuar social.</w:t>
            </w:r>
          </w:p>
        </w:tc>
      </w:tr>
      <w:tr w:rsidR="00C92E14" w:rsidRPr="00937662" w14:paraId="1C0F7310" w14:textId="77777777" w:rsidTr="00646EBE">
        <w:trPr>
          <w:trHeight w:val="163"/>
          <w:jc w:val="center"/>
        </w:trPr>
        <w:tc>
          <w:tcPr>
            <w:tcW w:w="1362" w:type="pct"/>
            <w:shd w:val="clear" w:color="auto" w:fill="9CC2E5" w:themeFill="accent1" w:themeFillTint="99"/>
          </w:tcPr>
          <w:p w14:paraId="54CB7DA0" w14:textId="77777777" w:rsidR="00C92E14" w:rsidRPr="00937662" w:rsidRDefault="00C92E14" w:rsidP="00C92E14">
            <w:pPr>
              <w:rPr>
                <w:b/>
              </w:rPr>
            </w:pPr>
            <w:r w:rsidRPr="00937662">
              <w:rPr>
                <w:b/>
              </w:rPr>
              <w:lastRenderedPageBreak/>
              <w:t>Ndikimet mjedisore</w:t>
            </w:r>
          </w:p>
        </w:tc>
        <w:tc>
          <w:tcPr>
            <w:tcW w:w="1164" w:type="pct"/>
            <w:vAlign w:val="center"/>
          </w:tcPr>
          <w:p w14:paraId="1D9F4E33" w14:textId="77777777" w:rsidR="00C92E14" w:rsidRPr="00937662" w:rsidRDefault="00C92E14" w:rsidP="00C92E14">
            <w:r w:rsidRPr="00937662">
              <w:t>Pa ndikim</w:t>
            </w:r>
          </w:p>
        </w:tc>
        <w:tc>
          <w:tcPr>
            <w:tcW w:w="1190" w:type="pct"/>
          </w:tcPr>
          <w:p w14:paraId="0387C3A9" w14:textId="77777777" w:rsidR="00C92E14" w:rsidRPr="00937662" w:rsidRDefault="00C92E14" w:rsidP="00C92E14">
            <w:r w:rsidRPr="00937662">
              <w:t>Pa ndikim</w:t>
            </w:r>
          </w:p>
        </w:tc>
        <w:tc>
          <w:tcPr>
            <w:tcW w:w="1284" w:type="pct"/>
            <w:vAlign w:val="center"/>
          </w:tcPr>
          <w:p w14:paraId="0A69E8AA" w14:textId="68901B6E" w:rsidR="00C92E14" w:rsidRPr="00937662" w:rsidRDefault="00C92E14" w:rsidP="0017205A">
            <w:r w:rsidRPr="00937662">
              <w:t xml:space="preserve">Ndikim i </w:t>
            </w:r>
            <w:proofErr w:type="spellStart"/>
            <w:r w:rsidR="0017205A">
              <w:t>q</w:t>
            </w:r>
            <w:r w:rsidR="0017205A" w:rsidRPr="00937662">
              <w:t>ë</w:t>
            </w:r>
            <w:r w:rsidR="0017205A">
              <w:t>mdruesh</w:t>
            </w:r>
            <w:r w:rsidR="0017205A" w:rsidRPr="00937662">
              <w:t>ë</w:t>
            </w:r>
            <w:r w:rsidR="0017205A">
              <w:t>m</w:t>
            </w:r>
            <w:proofErr w:type="spellEnd"/>
            <w:r w:rsidR="0017205A">
              <w:t xml:space="preserve"> mjedisor</w:t>
            </w:r>
            <w:r w:rsidRPr="00937662">
              <w:t xml:space="preserve"> </w:t>
            </w:r>
          </w:p>
        </w:tc>
      </w:tr>
      <w:tr w:rsidR="00C92E14" w:rsidRPr="00937662" w14:paraId="28E808C3" w14:textId="77777777" w:rsidTr="00646EBE">
        <w:trPr>
          <w:trHeight w:val="163"/>
          <w:jc w:val="center"/>
        </w:trPr>
        <w:tc>
          <w:tcPr>
            <w:tcW w:w="1362" w:type="pct"/>
            <w:shd w:val="clear" w:color="auto" w:fill="9CC2E5" w:themeFill="accent1" w:themeFillTint="99"/>
          </w:tcPr>
          <w:p w14:paraId="06E04FE5" w14:textId="5CF22167" w:rsidR="00C92E14" w:rsidRPr="00937662" w:rsidRDefault="00313979" w:rsidP="00313979">
            <w:pPr>
              <w:rPr>
                <w:b/>
              </w:rPr>
            </w:pPr>
            <w:r w:rsidRPr="00937662">
              <w:rPr>
                <w:b/>
              </w:rPr>
              <w:t>Ndikimet në barrën administrative</w:t>
            </w:r>
          </w:p>
        </w:tc>
        <w:tc>
          <w:tcPr>
            <w:tcW w:w="1164" w:type="pct"/>
          </w:tcPr>
          <w:p w14:paraId="6665C30E" w14:textId="25CB7DD3" w:rsidR="00C92E14" w:rsidRPr="00937662" w:rsidRDefault="00D27B3E" w:rsidP="00C92E14">
            <w:r w:rsidRPr="00D27B3E">
              <w:t>Barra administrative mbetet e pandryshuar</w:t>
            </w:r>
          </w:p>
        </w:tc>
        <w:tc>
          <w:tcPr>
            <w:tcW w:w="1190" w:type="pct"/>
          </w:tcPr>
          <w:p w14:paraId="68F8D922" w14:textId="52319BB0" w:rsidR="00C92E14" w:rsidRPr="00937662" w:rsidRDefault="00D27B3E" w:rsidP="00C92E14">
            <w:r w:rsidRPr="00D27B3E">
              <w:t>Barra administrative mbetet e pandryshuar</w:t>
            </w:r>
          </w:p>
        </w:tc>
        <w:tc>
          <w:tcPr>
            <w:tcW w:w="1284" w:type="pct"/>
          </w:tcPr>
          <w:p w14:paraId="2DAEE085" w14:textId="6A6C0E8B" w:rsidR="00C92E14" w:rsidRPr="00937662" w:rsidRDefault="00C92E14" w:rsidP="00D27B3E">
            <w:r w:rsidRPr="0071222F">
              <w:t xml:space="preserve">Barra administrative </w:t>
            </w:r>
            <w:r w:rsidR="00D27B3E" w:rsidRPr="0071222F">
              <w:t>mbetet e pandryshuar</w:t>
            </w:r>
          </w:p>
        </w:tc>
      </w:tr>
      <w:tr w:rsidR="00C92E14" w:rsidRPr="00937662" w14:paraId="7ABAA9C6" w14:textId="77777777" w:rsidTr="00646EBE">
        <w:trPr>
          <w:trHeight w:val="163"/>
          <w:jc w:val="center"/>
        </w:trPr>
        <w:tc>
          <w:tcPr>
            <w:tcW w:w="1362" w:type="pct"/>
            <w:shd w:val="clear" w:color="auto" w:fill="9CC2E5" w:themeFill="accent1" w:themeFillTint="99"/>
          </w:tcPr>
          <w:p w14:paraId="1525FF6D" w14:textId="340B326B" w:rsidR="00C92E14" w:rsidRPr="00937662" w:rsidRDefault="00C92E14" w:rsidP="00D27B3E">
            <w:pPr>
              <w:rPr>
                <w:b/>
              </w:rPr>
            </w:pPr>
            <w:r w:rsidRPr="00937662">
              <w:rPr>
                <w:b/>
              </w:rPr>
              <w:t>Ndikimi në N</w:t>
            </w:r>
            <w:r w:rsidR="00D27B3E" w:rsidRPr="00937662">
              <w:rPr>
                <w:b/>
              </w:rPr>
              <w:t>V</w:t>
            </w:r>
            <w:r w:rsidRPr="00937662">
              <w:rPr>
                <w:b/>
              </w:rPr>
              <w:t xml:space="preserve">M </w:t>
            </w:r>
          </w:p>
        </w:tc>
        <w:tc>
          <w:tcPr>
            <w:tcW w:w="1164" w:type="pct"/>
          </w:tcPr>
          <w:p w14:paraId="6DC4AFBE" w14:textId="275812E9" w:rsidR="00C92E14" w:rsidRPr="00937662" w:rsidRDefault="0035486A" w:rsidP="00C92E14">
            <w:r w:rsidRPr="00937662">
              <w:t>Pa ndikim</w:t>
            </w:r>
          </w:p>
        </w:tc>
        <w:tc>
          <w:tcPr>
            <w:tcW w:w="1190" w:type="pct"/>
          </w:tcPr>
          <w:p w14:paraId="2D97003D" w14:textId="78DA4E68" w:rsidR="00C92E14" w:rsidRPr="00937662" w:rsidRDefault="0035486A" w:rsidP="00C92E14">
            <w:r w:rsidRPr="00937662">
              <w:t>Pa ndikim</w:t>
            </w:r>
          </w:p>
        </w:tc>
        <w:tc>
          <w:tcPr>
            <w:tcW w:w="1284" w:type="pct"/>
          </w:tcPr>
          <w:p w14:paraId="14F0F383" w14:textId="716B4E6A" w:rsidR="00C92E14" w:rsidRPr="00937662" w:rsidRDefault="0035486A" w:rsidP="00C92E14">
            <w:r>
              <w:t>Ndikim pozitiv</w:t>
            </w:r>
          </w:p>
        </w:tc>
      </w:tr>
      <w:tr w:rsidR="00F12D13" w:rsidRPr="00937662" w14:paraId="1B40515A" w14:textId="77777777" w:rsidTr="00646EBE">
        <w:trPr>
          <w:trHeight w:val="163"/>
          <w:jc w:val="center"/>
        </w:trPr>
        <w:tc>
          <w:tcPr>
            <w:tcW w:w="1362" w:type="pct"/>
            <w:shd w:val="clear" w:color="auto" w:fill="9CC2E5" w:themeFill="accent1" w:themeFillTint="99"/>
          </w:tcPr>
          <w:p w14:paraId="51B14D24" w14:textId="45E6C6FF" w:rsidR="00F12D13" w:rsidRPr="00937662" w:rsidRDefault="00F12D13" w:rsidP="00D27B3E">
            <w:pPr>
              <w:rPr>
                <w:b/>
              </w:rPr>
            </w:pPr>
            <w:r w:rsidRPr="00F12D13">
              <w:rPr>
                <w:b/>
              </w:rPr>
              <w:t>Ndikimi në buxhet</w:t>
            </w:r>
          </w:p>
        </w:tc>
        <w:tc>
          <w:tcPr>
            <w:tcW w:w="1164" w:type="pct"/>
          </w:tcPr>
          <w:p w14:paraId="19E951D8" w14:textId="77777777" w:rsidR="00F12D13" w:rsidRPr="00937662" w:rsidRDefault="00F12D13" w:rsidP="00C92E14"/>
        </w:tc>
        <w:tc>
          <w:tcPr>
            <w:tcW w:w="1190" w:type="pct"/>
          </w:tcPr>
          <w:p w14:paraId="26F5974C" w14:textId="77777777" w:rsidR="00F12D13" w:rsidRPr="00937662" w:rsidRDefault="00F12D13" w:rsidP="00C92E14"/>
        </w:tc>
        <w:tc>
          <w:tcPr>
            <w:tcW w:w="1284" w:type="pct"/>
          </w:tcPr>
          <w:p w14:paraId="36BA118E" w14:textId="77777777" w:rsidR="00F12D13" w:rsidRDefault="00F12D13" w:rsidP="00C92E14"/>
        </w:tc>
      </w:tr>
    </w:tbl>
    <w:p w14:paraId="3558EDFF" w14:textId="77777777" w:rsidR="00C92E14" w:rsidRDefault="00C92E14" w:rsidP="00C92E14">
      <w:pPr>
        <w:rPr>
          <w:lang w:val="en-GB"/>
        </w:rPr>
      </w:pPr>
    </w:p>
    <w:p w14:paraId="2FAF10D3" w14:textId="77777777" w:rsidR="00C92E14" w:rsidRDefault="00C92E14" w:rsidP="003D019A">
      <w:pPr>
        <w:pStyle w:val="Heading2"/>
      </w:pPr>
      <w:bookmarkStart w:id="20" w:name="_Toc69198228"/>
      <w:r w:rsidRPr="00937662">
        <w:t>Kapitulli 4.1: Sfidat me mbledhjen e të dhënave</w:t>
      </w:r>
      <w:bookmarkEnd w:id="20"/>
    </w:p>
    <w:p w14:paraId="4B1C1F9A" w14:textId="7BA89BAF" w:rsidR="00234BEB" w:rsidRDefault="00234BEB" w:rsidP="004B0CDC">
      <w:pPr>
        <w:jc w:val="both"/>
      </w:pPr>
      <w:r>
        <w:t xml:space="preserve">Grupi Punues ka pasur në përbërjen e tij përfaqësim </w:t>
      </w:r>
      <w:r w:rsidR="00FE6C83">
        <w:t>nga institucionet relevante p</w:t>
      </w:r>
      <w:r w:rsidR="00FE6C83" w:rsidRPr="00937662">
        <w:t>ë</w:t>
      </w:r>
      <w:r w:rsidR="00FE6C83">
        <w:t xml:space="preserve">r </w:t>
      </w:r>
      <w:r>
        <w:t xml:space="preserve">sigurimin e informatave të nevojshme për hartimin e këtij Koncept Dokumenti. Puna është udhëhequr nga Ministria e Industrisë, </w:t>
      </w:r>
      <w:proofErr w:type="spellStart"/>
      <w:r>
        <w:t>Ndërmarrësisë</w:t>
      </w:r>
      <w:proofErr w:type="spellEnd"/>
      <w:r>
        <w:t xml:space="preserve"> dhe Tregtisë, i cili ka siguruar informatat e përgjithshme dhe të veçanta të nevojshme, kryesisht përmes Divizionit për Mbrojtjen e Tregut</w:t>
      </w:r>
      <w:r w:rsidR="00570B5A">
        <w:t xml:space="preserve"> në kuadër të Departamentit të Tregtisë</w:t>
      </w:r>
      <w:r>
        <w:t xml:space="preserve"> dhe Departamentit Ligjor. Në anën tjetër, analizat specifike për Koncept Dokument janë siguruar nga të gjithë anëtarët e Grupit Punues</w:t>
      </w:r>
      <w:r w:rsidR="00FE6C83">
        <w:t xml:space="preserve">, </w:t>
      </w:r>
      <w:proofErr w:type="spellStart"/>
      <w:r w:rsidR="00FE6C83">
        <w:t>po</w:t>
      </w:r>
      <w:r>
        <w:t>ashtu</w:t>
      </w:r>
      <w:proofErr w:type="spellEnd"/>
      <w:r>
        <w:t xml:space="preserve"> edhe nga ekspertja e angazhuar nga projekti </w:t>
      </w:r>
      <w:proofErr w:type="spellStart"/>
      <w:r>
        <w:t>LuxDev</w:t>
      </w:r>
      <w:proofErr w:type="spellEnd"/>
      <w:r>
        <w:t xml:space="preserve">. </w:t>
      </w:r>
    </w:p>
    <w:p w14:paraId="1D30CFC1" w14:textId="10F52938" w:rsidR="00D44244" w:rsidRPr="00D44244" w:rsidRDefault="00234BEB" w:rsidP="004B0CDC">
      <w:pPr>
        <w:jc w:val="both"/>
      </w:pPr>
      <w:r>
        <w:t>Andaj, mund të konfirmohet që nuk ka pasur probleme dhe sfida në mbledhjen e këtyre informatave.</w:t>
      </w:r>
    </w:p>
    <w:p w14:paraId="338319A3" w14:textId="77777777" w:rsidR="00C92E14" w:rsidRPr="00937662" w:rsidRDefault="00C92E14" w:rsidP="00C92E14">
      <w:r w:rsidRPr="00937662">
        <w:br w:type="page"/>
      </w:r>
    </w:p>
    <w:p w14:paraId="477B4846" w14:textId="655E5B0D" w:rsidR="00C92E14" w:rsidRPr="00937662" w:rsidRDefault="00C92E14" w:rsidP="00E673E6">
      <w:pPr>
        <w:pStyle w:val="Heading1"/>
        <w:rPr>
          <w:rFonts w:cs="Times New Roman"/>
          <w:b/>
          <w:bCs/>
        </w:rPr>
      </w:pPr>
      <w:bookmarkStart w:id="21" w:name="_Toc66089563"/>
      <w:bookmarkStart w:id="22" w:name="_Toc69198229"/>
      <w:r w:rsidRPr="00937662">
        <w:rPr>
          <w:rFonts w:ascii="Times New Roman" w:hAnsi="Times New Roman" w:cs="Times New Roman"/>
          <w:b/>
        </w:rPr>
        <w:lastRenderedPageBreak/>
        <w:t>Kapitulli 5: Komunikimi dhe konsultimi</w:t>
      </w:r>
      <w:bookmarkEnd w:id="21"/>
      <w:bookmarkEnd w:id="22"/>
      <w:r w:rsidRPr="00937662">
        <w:rPr>
          <w:rFonts w:ascii="Times New Roman" w:hAnsi="Times New Roman" w:cs="Times New Roman"/>
          <w:b/>
        </w:rPr>
        <w:t xml:space="preserve"> </w:t>
      </w:r>
    </w:p>
    <w:p w14:paraId="5F9078E6" w14:textId="77777777" w:rsidR="00C92E14" w:rsidRPr="00937662" w:rsidRDefault="00C92E14" w:rsidP="00C92E14">
      <w:pPr>
        <w:rPr>
          <w:lang w:val="en-GB"/>
        </w:rPr>
      </w:pPr>
    </w:p>
    <w:p w14:paraId="447AF6BB" w14:textId="41501A40" w:rsidR="00C92E14" w:rsidRDefault="00C92E14" w:rsidP="00E673E6">
      <w:pPr>
        <w:jc w:val="both"/>
      </w:pPr>
      <w:r w:rsidRPr="00937662">
        <w:t xml:space="preserve">Në përputhje me Rregulloren 05/2016 për Standardet Minimale për Procesin e Konsultimit Publik, ky proces kryhet përmes metodave të ndryshme, përfshirë </w:t>
      </w:r>
      <w:r w:rsidR="00336054">
        <w:t xml:space="preserve">konsultimin </w:t>
      </w:r>
      <w:r w:rsidR="003870D3">
        <w:t xml:space="preserve">paraprak, </w:t>
      </w:r>
      <w:r w:rsidRPr="00937662">
        <w:t xml:space="preserve">Platformën Elektronike për Konsultimet Publike dhe përmes takimeve të drejtpërdrejta me </w:t>
      </w:r>
      <w:proofErr w:type="spellStart"/>
      <w:r w:rsidR="00FE6C83">
        <w:t>akte</w:t>
      </w:r>
      <w:r w:rsidR="00FE6C83" w:rsidRPr="00937662">
        <w:t>rët</w:t>
      </w:r>
      <w:proofErr w:type="spellEnd"/>
      <w:r w:rsidR="00FE6C83">
        <w:t xml:space="preserve"> relevant</w:t>
      </w:r>
      <w:r w:rsidRPr="00937662">
        <w:t xml:space="preserve">, me të gjitha institucionet dhe kategoritë e shoqërisë, qofshin ato me nivele të larta interesi ose ata që mund të japin kontributin e tyre për shqyrtimin e opsioneve. Kontribute të rëndësishme </w:t>
      </w:r>
      <w:r w:rsidR="00FE6C83">
        <w:t>jan</w:t>
      </w:r>
      <w:r w:rsidR="00FE6C83" w:rsidRPr="00937662">
        <w:t>ë</w:t>
      </w:r>
      <w:r w:rsidR="00FE6C83">
        <w:t xml:space="preserve"> dh</w:t>
      </w:r>
      <w:r w:rsidR="00FE6C83" w:rsidRPr="00937662">
        <w:t>ë</w:t>
      </w:r>
      <w:r w:rsidR="00FE6C83">
        <w:t>n</w:t>
      </w:r>
      <w:r w:rsidR="00FE6C83" w:rsidRPr="00937662">
        <w:t>ë</w:t>
      </w:r>
      <w:r w:rsidRPr="00937662">
        <w:t xml:space="preserve"> prej të gjitha kategorive të bizneseve, institucioneve të Kosovës që u shërbejnë bizneseve dhe konsumatorëve, odave ekonomike me anëtarë nga radhët e bizneseve, organizatat ndërkombëtare në Kosovë dhe ekspertët e projekteve të ndryshme ndërkombëtare të asistencës teknike.</w:t>
      </w:r>
    </w:p>
    <w:p w14:paraId="086C9746" w14:textId="054F1ABB" w:rsidR="008938C1" w:rsidRPr="00937662" w:rsidRDefault="008938C1" w:rsidP="00E673E6">
      <w:pPr>
        <w:jc w:val="both"/>
      </w:pPr>
      <w:r>
        <w:t>Me palët e interesit është mbajtur takim informues dhe sqarues lidhur me hartimin e  draft Koncept Dokumentit dhe mbledhjen e të dhënave për problemet në zbatim të ligjit aktual.</w:t>
      </w:r>
    </w:p>
    <w:p w14:paraId="523AB591" w14:textId="110C6320" w:rsidR="00CE7960" w:rsidRPr="00937662" w:rsidRDefault="00CE7960" w:rsidP="00CE7960">
      <w:pPr>
        <w:pStyle w:val="Caption"/>
        <w:keepNext/>
        <w:rPr>
          <w:color w:val="2E74B5" w:themeColor="accent1" w:themeShade="BF"/>
          <w:sz w:val="24"/>
          <w:szCs w:val="24"/>
        </w:rPr>
      </w:pPr>
      <w:r w:rsidRPr="00937662">
        <w:rPr>
          <w:color w:val="2E74B5" w:themeColor="accent1" w:themeShade="BF"/>
          <w:sz w:val="24"/>
          <w:szCs w:val="24"/>
        </w:rPr>
        <w:t xml:space="preserve">Tabela </w:t>
      </w:r>
      <w:r w:rsidR="00A717EE">
        <w:rPr>
          <w:color w:val="2E74B5" w:themeColor="accent1" w:themeShade="BF"/>
          <w:sz w:val="24"/>
          <w:szCs w:val="24"/>
        </w:rPr>
        <w:t>7</w:t>
      </w:r>
      <w:r w:rsidRPr="00937662">
        <w:rPr>
          <w:color w:val="2E74B5" w:themeColor="accent1" w:themeShade="BF"/>
          <w:sz w:val="24"/>
          <w:szCs w:val="24"/>
        </w:rPr>
        <w:t>: Përmbledhje e aktiviteteve të komunikimit dhe konsultimit të realizuara për koncept dokumentin</w:t>
      </w:r>
    </w:p>
    <w:p w14:paraId="20F5FEB7" w14:textId="37302C4B" w:rsidR="00C92E14" w:rsidRPr="00937662" w:rsidRDefault="00C92E14" w:rsidP="00C92E14">
      <w:pPr>
        <w:rPr>
          <w:b/>
          <w:bCs/>
          <w:i/>
          <w:iCs/>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66"/>
        <w:gridCol w:w="1816"/>
        <w:gridCol w:w="1607"/>
        <w:gridCol w:w="977"/>
        <w:gridCol w:w="1336"/>
        <w:gridCol w:w="1277"/>
      </w:tblGrid>
      <w:tr w:rsidR="00C92E14" w:rsidRPr="00937662" w14:paraId="7671BA00" w14:textId="77777777" w:rsidTr="00646EBE">
        <w:tc>
          <w:tcPr>
            <w:tcW w:w="9902" w:type="dxa"/>
            <w:gridSpan w:val="7"/>
            <w:shd w:val="clear" w:color="auto" w:fill="auto"/>
          </w:tcPr>
          <w:p w14:paraId="183976AB" w14:textId="77777777" w:rsidR="00C92E14" w:rsidRPr="00937662" w:rsidRDefault="00C92E14" w:rsidP="00C92E14">
            <w:r w:rsidRPr="00937662">
              <w:t>Procesi i konsultimit synon:</w:t>
            </w:r>
          </w:p>
          <w:p w14:paraId="6F8A3CD5" w14:textId="77777777" w:rsidR="00C92E14" w:rsidRPr="00937662" w:rsidRDefault="00C92E14" w:rsidP="00C92E14">
            <w:pPr>
              <w:numPr>
                <w:ilvl w:val="0"/>
                <w:numId w:val="10"/>
              </w:numPr>
            </w:pPr>
            <w:r w:rsidRPr="00937662">
              <w:t xml:space="preserve">Të merr të gjitha pikëpamjet nga palët që kanë qenë dhe janë përfshirë në zbatimin e ligjit ekzistues, duke filluar nga problemet, efektet që janë shkaktuar në praktikë, si dhe ndryshimet që duhet të përfshihen për ndryshimin dhe plotësimin e ligjit. </w:t>
            </w:r>
          </w:p>
          <w:p w14:paraId="254CB8DB" w14:textId="77777777" w:rsidR="00C92E14" w:rsidRPr="00937662" w:rsidRDefault="00C92E14" w:rsidP="00C92E14">
            <w:pPr>
              <w:numPr>
                <w:ilvl w:val="0"/>
                <w:numId w:val="10"/>
              </w:numPr>
            </w:pPr>
            <w:r w:rsidRPr="00937662">
              <w:t xml:space="preserve">[Kur dokumenti për konsultim dërgohet për konsultime publike, kolona e buxhetit duhet të fshihet.] </w:t>
            </w:r>
          </w:p>
          <w:p w14:paraId="0B5C7E9B" w14:textId="77777777" w:rsidR="00C92E14" w:rsidRPr="00937662" w:rsidRDefault="00C92E14" w:rsidP="00C92E14">
            <w:pPr>
              <w:numPr>
                <w:ilvl w:val="0"/>
                <w:numId w:val="10"/>
              </w:numPr>
            </w:pPr>
            <w:r w:rsidRPr="00937662">
              <w:t>[Kur dokumenti për konsultim dërgohet për konsultime publike, titulli i kolonës 'Afati Indikativ' duhet të ndryshohet në 'Afati'.]</w:t>
            </w:r>
          </w:p>
        </w:tc>
      </w:tr>
      <w:tr w:rsidR="00C92E14" w:rsidRPr="00937662" w14:paraId="43186E34" w14:textId="77777777" w:rsidTr="00646EBE">
        <w:tc>
          <w:tcPr>
            <w:tcW w:w="1424" w:type="dxa"/>
            <w:shd w:val="clear" w:color="auto" w:fill="9CC2E5" w:themeFill="accent1" w:themeFillTint="99"/>
          </w:tcPr>
          <w:p w14:paraId="03F98CF6" w14:textId="77777777" w:rsidR="00C92E14" w:rsidRPr="00937662" w:rsidRDefault="00C92E14" w:rsidP="00C92E14">
            <w:pPr>
              <w:rPr>
                <w:b/>
                <w:bCs/>
              </w:rPr>
            </w:pPr>
            <w:r w:rsidRPr="00937662">
              <w:rPr>
                <w:b/>
              </w:rPr>
              <w:t>Qëllimi kryesor</w:t>
            </w:r>
          </w:p>
        </w:tc>
        <w:tc>
          <w:tcPr>
            <w:tcW w:w="1424" w:type="dxa"/>
            <w:shd w:val="clear" w:color="auto" w:fill="9CC2E5" w:themeFill="accent1" w:themeFillTint="99"/>
          </w:tcPr>
          <w:p w14:paraId="17A16FB1" w14:textId="77777777" w:rsidR="00C92E14" w:rsidRPr="00937662" w:rsidRDefault="00C92E14" w:rsidP="00C92E14">
            <w:pPr>
              <w:rPr>
                <w:b/>
                <w:bCs/>
              </w:rPr>
            </w:pPr>
            <w:r w:rsidRPr="00937662">
              <w:rPr>
                <w:b/>
              </w:rPr>
              <w:t>Grupi cak</w:t>
            </w:r>
          </w:p>
        </w:tc>
        <w:tc>
          <w:tcPr>
            <w:tcW w:w="1470" w:type="dxa"/>
            <w:shd w:val="clear" w:color="auto" w:fill="9CC2E5" w:themeFill="accent1" w:themeFillTint="99"/>
          </w:tcPr>
          <w:p w14:paraId="2746A73A" w14:textId="77777777" w:rsidR="00C92E14" w:rsidRPr="00937662" w:rsidRDefault="00C92E14" w:rsidP="00C92E14">
            <w:pPr>
              <w:rPr>
                <w:b/>
                <w:bCs/>
              </w:rPr>
            </w:pPr>
            <w:r w:rsidRPr="00937662">
              <w:rPr>
                <w:b/>
              </w:rPr>
              <w:t>Veprimtaria</w:t>
            </w:r>
          </w:p>
        </w:tc>
        <w:tc>
          <w:tcPr>
            <w:tcW w:w="1937" w:type="dxa"/>
            <w:shd w:val="clear" w:color="auto" w:fill="9CC2E5" w:themeFill="accent1" w:themeFillTint="99"/>
          </w:tcPr>
          <w:p w14:paraId="5C8A3250" w14:textId="77777777" w:rsidR="00C92E14" w:rsidRPr="00937662" w:rsidRDefault="00C92E14" w:rsidP="00C92E14">
            <w:pPr>
              <w:rPr>
                <w:b/>
                <w:bCs/>
              </w:rPr>
            </w:pPr>
            <w:r w:rsidRPr="00937662">
              <w:rPr>
                <w:b/>
              </w:rPr>
              <w:t>Komunikimi/</w:t>
            </w:r>
          </w:p>
          <w:p w14:paraId="3CB90386" w14:textId="77777777" w:rsidR="00C92E14" w:rsidRPr="00937662" w:rsidRDefault="00C92E14" w:rsidP="00C92E14">
            <w:pPr>
              <w:rPr>
                <w:b/>
                <w:bCs/>
              </w:rPr>
            </w:pPr>
            <w:r w:rsidRPr="00937662">
              <w:rPr>
                <w:b/>
              </w:rPr>
              <w:t>Njoftimi</w:t>
            </w:r>
          </w:p>
        </w:tc>
        <w:tc>
          <w:tcPr>
            <w:tcW w:w="1250" w:type="dxa"/>
            <w:shd w:val="clear" w:color="auto" w:fill="9CC2E5" w:themeFill="accent1" w:themeFillTint="99"/>
          </w:tcPr>
          <w:p w14:paraId="20C90B11" w14:textId="77777777" w:rsidR="00C92E14" w:rsidRPr="00937662" w:rsidRDefault="00C92E14" w:rsidP="00C92E14">
            <w:pPr>
              <w:rPr>
                <w:b/>
                <w:bCs/>
              </w:rPr>
            </w:pPr>
            <w:r w:rsidRPr="00937662">
              <w:rPr>
                <w:b/>
              </w:rPr>
              <w:t>Afati kohor</w:t>
            </w:r>
          </w:p>
        </w:tc>
        <w:tc>
          <w:tcPr>
            <w:tcW w:w="954" w:type="dxa"/>
            <w:shd w:val="clear" w:color="auto" w:fill="9CC2E5" w:themeFill="accent1" w:themeFillTint="99"/>
          </w:tcPr>
          <w:p w14:paraId="5BBA476B" w14:textId="77777777" w:rsidR="00C92E14" w:rsidRPr="00937662" w:rsidRDefault="00C92E14" w:rsidP="00C92E14">
            <w:pPr>
              <w:rPr>
                <w:b/>
                <w:bCs/>
              </w:rPr>
            </w:pPr>
            <w:r w:rsidRPr="00937662">
              <w:rPr>
                <w:b/>
              </w:rPr>
              <w:t xml:space="preserve">Buxheti </w:t>
            </w:r>
          </w:p>
        </w:tc>
        <w:tc>
          <w:tcPr>
            <w:tcW w:w="1443" w:type="dxa"/>
            <w:shd w:val="clear" w:color="auto" w:fill="9CC2E5" w:themeFill="accent1" w:themeFillTint="99"/>
          </w:tcPr>
          <w:p w14:paraId="1452AF36" w14:textId="77777777" w:rsidR="00C92E14" w:rsidRPr="00937662" w:rsidRDefault="00C92E14" w:rsidP="00C92E14">
            <w:pPr>
              <w:rPr>
                <w:b/>
                <w:bCs/>
              </w:rPr>
            </w:pPr>
            <w:r w:rsidRPr="00937662">
              <w:rPr>
                <w:b/>
              </w:rPr>
              <w:t>Personi përgjegjës</w:t>
            </w:r>
          </w:p>
        </w:tc>
      </w:tr>
      <w:tr w:rsidR="00C92E14" w:rsidRPr="00937662" w14:paraId="75526AFF" w14:textId="77777777" w:rsidTr="00646EBE">
        <w:tc>
          <w:tcPr>
            <w:tcW w:w="1424" w:type="dxa"/>
            <w:shd w:val="clear" w:color="auto" w:fill="auto"/>
          </w:tcPr>
          <w:p w14:paraId="1B489497" w14:textId="77777777" w:rsidR="00C92E14" w:rsidRPr="00937662" w:rsidRDefault="00C92E14" w:rsidP="00C92E14">
            <w:r w:rsidRPr="00937662">
              <w:t>Takimi i fokusit</w:t>
            </w:r>
          </w:p>
          <w:p w14:paraId="4A791436" w14:textId="77777777" w:rsidR="00C92E14" w:rsidRPr="00937662" w:rsidRDefault="00C92E14" w:rsidP="00C92E14">
            <w:pPr>
              <w:rPr>
                <w:lang w:val="en-GB"/>
              </w:rPr>
            </w:pPr>
          </w:p>
        </w:tc>
        <w:tc>
          <w:tcPr>
            <w:tcW w:w="1424" w:type="dxa"/>
            <w:shd w:val="clear" w:color="auto" w:fill="auto"/>
          </w:tcPr>
          <w:p w14:paraId="22092DAA" w14:textId="77777777" w:rsidR="00C92E14" w:rsidRPr="00937662" w:rsidRDefault="00C92E14" w:rsidP="00C92E14">
            <w:r w:rsidRPr="00937662">
              <w:t>Përzgjedhja e anëtarëve të grupit të punës</w:t>
            </w:r>
          </w:p>
        </w:tc>
        <w:tc>
          <w:tcPr>
            <w:tcW w:w="1470" w:type="dxa"/>
            <w:shd w:val="clear" w:color="auto" w:fill="auto"/>
          </w:tcPr>
          <w:p w14:paraId="5529A8A0" w14:textId="77777777" w:rsidR="00C92E14" w:rsidRPr="00937662" w:rsidRDefault="00C92E14" w:rsidP="00C92E14">
            <w:r w:rsidRPr="00937662">
              <w:t>Finalizimi i draftit të parë të Koncept Dokumentit</w:t>
            </w:r>
          </w:p>
        </w:tc>
        <w:tc>
          <w:tcPr>
            <w:tcW w:w="1937" w:type="dxa"/>
            <w:shd w:val="clear" w:color="auto" w:fill="auto"/>
          </w:tcPr>
          <w:p w14:paraId="3A36E21C" w14:textId="77777777" w:rsidR="00C92E14" w:rsidRPr="00937662" w:rsidRDefault="00C92E14" w:rsidP="00C92E14">
            <w:r w:rsidRPr="00937662">
              <w:t>Komunikimi përmes postës elektronike për organizimin e takimeve</w:t>
            </w:r>
          </w:p>
        </w:tc>
        <w:tc>
          <w:tcPr>
            <w:tcW w:w="1250" w:type="dxa"/>
            <w:shd w:val="clear" w:color="auto" w:fill="auto"/>
          </w:tcPr>
          <w:p w14:paraId="668D19CC" w14:textId="6DE601A0" w:rsidR="00C92E14" w:rsidRPr="00937662" w:rsidRDefault="00C92E14" w:rsidP="00D27B3E">
            <w:r w:rsidRPr="00937662">
              <w:t>F</w:t>
            </w:r>
            <w:r w:rsidR="00D27B3E">
              <w:t xml:space="preserve">illimi i </w:t>
            </w:r>
            <w:r w:rsidRPr="00937662">
              <w:t xml:space="preserve"> vitit 202</w:t>
            </w:r>
            <w:r w:rsidR="00D27B3E">
              <w:t>4</w:t>
            </w:r>
          </w:p>
        </w:tc>
        <w:tc>
          <w:tcPr>
            <w:tcW w:w="954" w:type="dxa"/>
            <w:shd w:val="clear" w:color="auto" w:fill="auto"/>
          </w:tcPr>
          <w:p w14:paraId="4E2387D7" w14:textId="77777777" w:rsidR="00C92E14" w:rsidRPr="00937662" w:rsidRDefault="00C92E14" w:rsidP="00C92E14">
            <w:r w:rsidRPr="00937662">
              <w:t xml:space="preserve">Të përcaktohet </w:t>
            </w:r>
          </w:p>
        </w:tc>
        <w:tc>
          <w:tcPr>
            <w:tcW w:w="1443" w:type="dxa"/>
            <w:shd w:val="clear" w:color="auto" w:fill="auto"/>
          </w:tcPr>
          <w:p w14:paraId="7B83409B" w14:textId="55CB68FD" w:rsidR="00C92E14" w:rsidRPr="00937662" w:rsidRDefault="00D27B3E" w:rsidP="00C92E14">
            <w:r>
              <w:t>Artan Demolli</w:t>
            </w:r>
          </w:p>
        </w:tc>
      </w:tr>
      <w:tr w:rsidR="00C92E14" w:rsidRPr="00937662" w14:paraId="086D0550" w14:textId="77777777" w:rsidTr="00646EBE">
        <w:tc>
          <w:tcPr>
            <w:tcW w:w="1424" w:type="dxa"/>
            <w:shd w:val="clear" w:color="auto" w:fill="auto"/>
          </w:tcPr>
          <w:p w14:paraId="75DFC007" w14:textId="77777777" w:rsidR="00C92E14" w:rsidRPr="00937662" w:rsidRDefault="00C92E14" w:rsidP="00C92E14">
            <w:r w:rsidRPr="00937662">
              <w:t xml:space="preserve">Takimet e grupit punues për hartimin e </w:t>
            </w:r>
            <w:r w:rsidRPr="00937662">
              <w:lastRenderedPageBreak/>
              <w:t>Koncept Dokumentit</w:t>
            </w:r>
          </w:p>
          <w:p w14:paraId="23D6D570" w14:textId="77777777" w:rsidR="00C92E14" w:rsidRPr="00937662" w:rsidRDefault="00C92E14" w:rsidP="00C92E14">
            <w:pPr>
              <w:rPr>
                <w:lang w:val="en-GB"/>
              </w:rPr>
            </w:pPr>
          </w:p>
        </w:tc>
        <w:tc>
          <w:tcPr>
            <w:tcW w:w="1424" w:type="dxa"/>
            <w:shd w:val="clear" w:color="auto" w:fill="auto"/>
          </w:tcPr>
          <w:p w14:paraId="03C6FE23" w14:textId="77777777" w:rsidR="00C92E14" w:rsidRPr="00937662" w:rsidRDefault="00C92E14" w:rsidP="00C92E14">
            <w:r w:rsidRPr="00937662">
              <w:lastRenderedPageBreak/>
              <w:t xml:space="preserve">Anëtarët e grupit punues për hartimin e </w:t>
            </w:r>
            <w:r w:rsidRPr="00937662">
              <w:lastRenderedPageBreak/>
              <w:t>Koncept Dokumentit</w:t>
            </w:r>
          </w:p>
        </w:tc>
        <w:tc>
          <w:tcPr>
            <w:tcW w:w="1470" w:type="dxa"/>
            <w:shd w:val="clear" w:color="auto" w:fill="auto"/>
          </w:tcPr>
          <w:p w14:paraId="04102D08" w14:textId="77777777" w:rsidR="00C92E14" w:rsidRPr="00937662" w:rsidRDefault="00C92E14" w:rsidP="00C92E14">
            <w:r w:rsidRPr="00937662">
              <w:lastRenderedPageBreak/>
              <w:t xml:space="preserve">Grup punues shqyrton draftin e parë të </w:t>
            </w:r>
            <w:r w:rsidRPr="00937662">
              <w:lastRenderedPageBreak/>
              <w:t>Koncept Dokumentit</w:t>
            </w:r>
          </w:p>
        </w:tc>
        <w:tc>
          <w:tcPr>
            <w:tcW w:w="1937" w:type="dxa"/>
            <w:shd w:val="clear" w:color="auto" w:fill="auto"/>
          </w:tcPr>
          <w:p w14:paraId="7B9C34BD" w14:textId="77777777" w:rsidR="00C92E14" w:rsidRPr="00937662" w:rsidRDefault="00C92E14" w:rsidP="00C92E14">
            <w:r w:rsidRPr="00937662">
              <w:lastRenderedPageBreak/>
              <w:t xml:space="preserve">Komunikimi përmes postës elektronike për </w:t>
            </w:r>
            <w:r w:rsidRPr="00937662">
              <w:lastRenderedPageBreak/>
              <w:t>organizimin e takimeve</w:t>
            </w:r>
          </w:p>
        </w:tc>
        <w:tc>
          <w:tcPr>
            <w:tcW w:w="1250" w:type="dxa"/>
            <w:shd w:val="clear" w:color="auto" w:fill="auto"/>
          </w:tcPr>
          <w:p w14:paraId="32A036A4" w14:textId="0A6F1772" w:rsidR="00C92E14" w:rsidRPr="00937662" w:rsidRDefault="00D27B3E" w:rsidP="00EC7DD8">
            <w:r>
              <w:lastRenderedPageBreak/>
              <w:t>Mars-</w:t>
            </w:r>
            <w:r w:rsidRPr="00937662">
              <w:t xml:space="preserve"> </w:t>
            </w:r>
            <w:r w:rsidR="00EC7DD8">
              <w:t>korrik 2024</w:t>
            </w:r>
            <w:r w:rsidR="00C92E14" w:rsidRPr="00937662">
              <w:br/>
            </w:r>
          </w:p>
        </w:tc>
        <w:tc>
          <w:tcPr>
            <w:tcW w:w="954" w:type="dxa"/>
            <w:shd w:val="clear" w:color="auto" w:fill="auto"/>
          </w:tcPr>
          <w:p w14:paraId="475CEE58" w14:textId="77777777" w:rsidR="00C92E14" w:rsidRPr="00937662" w:rsidRDefault="00C92E14" w:rsidP="00C92E14">
            <w:r w:rsidRPr="00937662">
              <w:t>Të përcaktohet</w:t>
            </w:r>
          </w:p>
        </w:tc>
        <w:tc>
          <w:tcPr>
            <w:tcW w:w="1443" w:type="dxa"/>
            <w:shd w:val="clear" w:color="auto" w:fill="auto"/>
          </w:tcPr>
          <w:p w14:paraId="53308BB8" w14:textId="0610DDAC" w:rsidR="00C92E14" w:rsidRPr="00937662" w:rsidRDefault="00D27B3E" w:rsidP="00C92E14">
            <w:pPr>
              <w:rPr>
                <w:lang w:val="en-GB"/>
              </w:rPr>
            </w:pPr>
            <w:r w:rsidRPr="00D27B3E">
              <w:rPr>
                <w:lang w:val="en-GB"/>
              </w:rPr>
              <w:t>Artan Demolli</w:t>
            </w:r>
          </w:p>
        </w:tc>
      </w:tr>
      <w:tr w:rsidR="00C92E14" w:rsidRPr="00937662" w14:paraId="5EEC6305" w14:textId="77777777" w:rsidTr="00646EBE">
        <w:tc>
          <w:tcPr>
            <w:tcW w:w="1424" w:type="dxa"/>
            <w:shd w:val="clear" w:color="auto" w:fill="auto"/>
          </w:tcPr>
          <w:p w14:paraId="59717E04" w14:textId="77777777" w:rsidR="00C92E14" w:rsidRPr="00937662" w:rsidRDefault="00C92E14" w:rsidP="00C92E14">
            <w:r w:rsidRPr="00937662">
              <w:t>Takim i hapur për të gjithë hisedarët</w:t>
            </w:r>
          </w:p>
        </w:tc>
        <w:tc>
          <w:tcPr>
            <w:tcW w:w="1424" w:type="dxa"/>
            <w:shd w:val="clear" w:color="auto" w:fill="auto"/>
          </w:tcPr>
          <w:p w14:paraId="71FC42E1" w14:textId="77777777" w:rsidR="00C92E14" w:rsidRPr="00937662" w:rsidRDefault="00C92E14" w:rsidP="00C92E14">
            <w:r w:rsidRPr="00937662">
              <w:t>Të gjithë hisedarët</w:t>
            </w:r>
          </w:p>
        </w:tc>
        <w:tc>
          <w:tcPr>
            <w:tcW w:w="1470" w:type="dxa"/>
            <w:shd w:val="clear" w:color="auto" w:fill="auto"/>
          </w:tcPr>
          <w:p w14:paraId="759EB35C" w14:textId="77777777" w:rsidR="00C92E14" w:rsidRPr="00937662" w:rsidRDefault="00C92E14" w:rsidP="00C92E14">
            <w:r w:rsidRPr="00937662">
              <w:t xml:space="preserve">Takim publik për të prezantuar draftin e parë të Koncept Dokumentit </w:t>
            </w:r>
          </w:p>
        </w:tc>
        <w:tc>
          <w:tcPr>
            <w:tcW w:w="1937" w:type="dxa"/>
            <w:shd w:val="clear" w:color="auto" w:fill="auto"/>
          </w:tcPr>
          <w:p w14:paraId="6453D9EA" w14:textId="77777777" w:rsidR="00C92E14" w:rsidRPr="00937662" w:rsidRDefault="00C92E14" w:rsidP="00C92E14">
            <w:r w:rsidRPr="00937662">
              <w:t>Komunikimi përmes ueb faqes së Ministrisë, njoftimit për shtyp dhe postës elektronike</w:t>
            </w:r>
          </w:p>
        </w:tc>
        <w:tc>
          <w:tcPr>
            <w:tcW w:w="1250" w:type="dxa"/>
            <w:shd w:val="clear" w:color="auto" w:fill="auto"/>
          </w:tcPr>
          <w:p w14:paraId="7FDBCBD5" w14:textId="1D070A91" w:rsidR="00C92E14" w:rsidRPr="00937662" w:rsidRDefault="00EC7DD8" w:rsidP="00D27B3E">
            <w:r>
              <w:t>Gusht 2024</w:t>
            </w:r>
          </w:p>
        </w:tc>
        <w:tc>
          <w:tcPr>
            <w:tcW w:w="954" w:type="dxa"/>
            <w:shd w:val="clear" w:color="auto" w:fill="auto"/>
          </w:tcPr>
          <w:p w14:paraId="2E27A4D0" w14:textId="77777777" w:rsidR="00C92E14" w:rsidRPr="00937662" w:rsidRDefault="00C92E14" w:rsidP="00C92E14">
            <w:r w:rsidRPr="00937662">
              <w:t>Të përcaktohet</w:t>
            </w:r>
          </w:p>
        </w:tc>
        <w:tc>
          <w:tcPr>
            <w:tcW w:w="1443" w:type="dxa"/>
            <w:shd w:val="clear" w:color="auto" w:fill="auto"/>
          </w:tcPr>
          <w:p w14:paraId="41EA91E9" w14:textId="77777777" w:rsidR="00C92E14" w:rsidRPr="00937662" w:rsidRDefault="00C92E14" w:rsidP="00C92E14">
            <w:pPr>
              <w:rPr>
                <w:lang w:val="en-GB"/>
              </w:rPr>
            </w:pPr>
          </w:p>
        </w:tc>
      </w:tr>
      <w:tr w:rsidR="00C92E14" w:rsidRPr="00937662" w14:paraId="3A91846E" w14:textId="77777777" w:rsidTr="00646EBE">
        <w:tc>
          <w:tcPr>
            <w:tcW w:w="1424" w:type="dxa"/>
            <w:shd w:val="clear" w:color="auto" w:fill="auto"/>
          </w:tcPr>
          <w:p w14:paraId="2D9FACAE" w14:textId="0D6C22EF" w:rsidR="00C92E14" w:rsidRPr="00937662" w:rsidRDefault="00C92E14" w:rsidP="00336054">
            <w:r w:rsidRPr="00937662">
              <w:t xml:space="preserve">Konsultimi </w:t>
            </w:r>
            <w:r w:rsidR="00336054" w:rsidRPr="00937662">
              <w:t>p</w:t>
            </w:r>
            <w:r w:rsidR="00336054">
              <w:t xml:space="preserve">araprak </w:t>
            </w:r>
            <w:r w:rsidRPr="00937662">
              <w:t>ndërministror</w:t>
            </w:r>
          </w:p>
        </w:tc>
        <w:tc>
          <w:tcPr>
            <w:tcW w:w="1424" w:type="dxa"/>
            <w:shd w:val="clear" w:color="auto" w:fill="auto"/>
          </w:tcPr>
          <w:p w14:paraId="61B05E55" w14:textId="77777777" w:rsidR="00C92E14" w:rsidRPr="00937662" w:rsidRDefault="00C92E14" w:rsidP="00C92E14">
            <w:r w:rsidRPr="00937662">
              <w:t>Ministritë dhe agjencitë përkatëse të linjës</w:t>
            </w:r>
          </w:p>
        </w:tc>
        <w:tc>
          <w:tcPr>
            <w:tcW w:w="1470" w:type="dxa"/>
            <w:shd w:val="clear" w:color="auto" w:fill="auto"/>
          </w:tcPr>
          <w:p w14:paraId="461FDBE3" w14:textId="77777777" w:rsidR="00C92E14" w:rsidRPr="00937662" w:rsidRDefault="00C92E14" w:rsidP="00C92E14">
            <w:r w:rsidRPr="00937662">
              <w:t xml:space="preserve">Shpërndahet drafti i parë i plotë </w:t>
            </w:r>
          </w:p>
        </w:tc>
        <w:tc>
          <w:tcPr>
            <w:tcW w:w="1937" w:type="dxa"/>
            <w:shd w:val="clear" w:color="auto" w:fill="auto"/>
          </w:tcPr>
          <w:p w14:paraId="4F437AB7" w14:textId="77777777" w:rsidR="00C92E14" w:rsidRPr="00937662" w:rsidRDefault="00C92E14" w:rsidP="00C92E14">
            <w:r w:rsidRPr="00937662">
              <w:t>Komunikimi përmes postës elektronike; drafti është së paku në dy gjuhë</w:t>
            </w:r>
          </w:p>
        </w:tc>
        <w:tc>
          <w:tcPr>
            <w:tcW w:w="1250" w:type="dxa"/>
            <w:shd w:val="clear" w:color="auto" w:fill="auto"/>
          </w:tcPr>
          <w:p w14:paraId="6AC7A3DB" w14:textId="098EB44A" w:rsidR="00C92E14" w:rsidRPr="00937662" w:rsidRDefault="008778B1" w:rsidP="00EC7DD8">
            <w:r>
              <w:t>2024</w:t>
            </w:r>
          </w:p>
        </w:tc>
        <w:tc>
          <w:tcPr>
            <w:tcW w:w="954" w:type="dxa"/>
            <w:shd w:val="clear" w:color="auto" w:fill="auto"/>
          </w:tcPr>
          <w:p w14:paraId="07E5FF8C" w14:textId="77777777" w:rsidR="00C92E14" w:rsidRPr="00937662" w:rsidRDefault="00C92E14" w:rsidP="00C92E14">
            <w:r w:rsidRPr="00937662">
              <w:t>Të përcaktohet</w:t>
            </w:r>
          </w:p>
        </w:tc>
        <w:tc>
          <w:tcPr>
            <w:tcW w:w="1443" w:type="dxa"/>
            <w:shd w:val="clear" w:color="auto" w:fill="auto"/>
          </w:tcPr>
          <w:p w14:paraId="1D89626C" w14:textId="77777777" w:rsidR="00C92E14" w:rsidRPr="00937662" w:rsidRDefault="00C92E14" w:rsidP="00C92E14">
            <w:pPr>
              <w:rPr>
                <w:lang w:val="en-GB"/>
              </w:rPr>
            </w:pPr>
          </w:p>
        </w:tc>
      </w:tr>
      <w:tr w:rsidR="00C92E14" w:rsidRPr="00937662" w14:paraId="00F86E63" w14:textId="77777777" w:rsidTr="00646EBE">
        <w:tc>
          <w:tcPr>
            <w:tcW w:w="1424" w:type="dxa"/>
            <w:shd w:val="clear" w:color="auto" w:fill="auto"/>
          </w:tcPr>
          <w:p w14:paraId="7B923677" w14:textId="77777777" w:rsidR="00C92E14" w:rsidRPr="00937662" w:rsidRDefault="00C92E14" w:rsidP="00C92E14">
            <w:r w:rsidRPr="00937662">
              <w:t>Konsultime publike me shkrim</w:t>
            </w:r>
          </w:p>
        </w:tc>
        <w:tc>
          <w:tcPr>
            <w:tcW w:w="1424" w:type="dxa"/>
            <w:shd w:val="clear" w:color="auto" w:fill="auto"/>
          </w:tcPr>
          <w:p w14:paraId="33407083" w14:textId="77777777" w:rsidR="00C92E14" w:rsidRPr="00937662" w:rsidRDefault="00C92E14" w:rsidP="00C92E14">
            <w:r w:rsidRPr="00937662">
              <w:t>Të gjithë hisedarët</w:t>
            </w:r>
          </w:p>
        </w:tc>
        <w:tc>
          <w:tcPr>
            <w:tcW w:w="1470" w:type="dxa"/>
            <w:shd w:val="clear" w:color="auto" w:fill="auto"/>
          </w:tcPr>
          <w:p w14:paraId="4A29200A" w14:textId="77777777" w:rsidR="00C92E14" w:rsidRPr="00937662" w:rsidRDefault="00C92E14" w:rsidP="00C92E14">
            <w:r w:rsidRPr="00937662">
              <w:t>Publikimi i konsultimeve në portalin për konsultim publik</w:t>
            </w:r>
          </w:p>
        </w:tc>
        <w:tc>
          <w:tcPr>
            <w:tcW w:w="1937" w:type="dxa"/>
            <w:shd w:val="clear" w:color="auto" w:fill="auto"/>
          </w:tcPr>
          <w:p w14:paraId="26BF004B" w14:textId="77777777" w:rsidR="00C92E14" w:rsidRPr="00937662" w:rsidRDefault="00C92E14" w:rsidP="00C92E14">
            <w:r w:rsidRPr="00937662">
              <w:t xml:space="preserve">Publikimi në ueb faqe; njoftimi me </w:t>
            </w:r>
            <w:proofErr w:type="spellStart"/>
            <w:r w:rsidRPr="00937662">
              <w:t>email</w:t>
            </w:r>
            <w:proofErr w:type="spellEnd"/>
            <w:r w:rsidRPr="00937662">
              <w:t xml:space="preserve"> dhe media sociale</w:t>
            </w:r>
          </w:p>
        </w:tc>
        <w:tc>
          <w:tcPr>
            <w:tcW w:w="1250" w:type="dxa"/>
            <w:shd w:val="clear" w:color="auto" w:fill="auto"/>
          </w:tcPr>
          <w:p w14:paraId="714365ED" w14:textId="00AA8B4E" w:rsidR="00C92E14" w:rsidRPr="00937662" w:rsidRDefault="00C92E14" w:rsidP="00C92E14"/>
        </w:tc>
        <w:tc>
          <w:tcPr>
            <w:tcW w:w="954" w:type="dxa"/>
            <w:shd w:val="clear" w:color="auto" w:fill="auto"/>
          </w:tcPr>
          <w:p w14:paraId="41AA256A" w14:textId="77777777" w:rsidR="00C92E14" w:rsidRPr="00937662" w:rsidRDefault="00C92E14" w:rsidP="00C92E14">
            <w:r w:rsidRPr="00937662">
              <w:t>Të përcaktohet</w:t>
            </w:r>
          </w:p>
        </w:tc>
        <w:tc>
          <w:tcPr>
            <w:tcW w:w="1443" w:type="dxa"/>
            <w:shd w:val="clear" w:color="auto" w:fill="auto"/>
          </w:tcPr>
          <w:p w14:paraId="376A3823" w14:textId="77777777" w:rsidR="00C92E14" w:rsidRPr="00937662" w:rsidRDefault="00C92E14" w:rsidP="00C92E14">
            <w:pPr>
              <w:rPr>
                <w:lang w:val="en-GB"/>
              </w:rPr>
            </w:pPr>
          </w:p>
        </w:tc>
      </w:tr>
      <w:tr w:rsidR="00C92E14" w:rsidRPr="00937662" w14:paraId="34099D28" w14:textId="77777777" w:rsidTr="00646EBE">
        <w:tc>
          <w:tcPr>
            <w:tcW w:w="1424" w:type="dxa"/>
            <w:shd w:val="clear" w:color="auto" w:fill="auto"/>
          </w:tcPr>
          <w:p w14:paraId="55AF6D02" w14:textId="77777777" w:rsidR="00C92E14" w:rsidRPr="00937662" w:rsidRDefault="00C92E14" w:rsidP="00C92E14">
            <w:r w:rsidRPr="00937662">
              <w:t xml:space="preserve">Takimi i Grupit të Punës </w:t>
            </w:r>
          </w:p>
        </w:tc>
        <w:tc>
          <w:tcPr>
            <w:tcW w:w="1424" w:type="dxa"/>
            <w:shd w:val="clear" w:color="auto" w:fill="auto"/>
          </w:tcPr>
          <w:p w14:paraId="45F5C38A" w14:textId="77777777" w:rsidR="00C92E14" w:rsidRPr="00937662" w:rsidRDefault="00C92E14" w:rsidP="00C92E14">
            <w:r w:rsidRPr="00937662">
              <w:t xml:space="preserve">Anëtarët e grupit punues </w:t>
            </w:r>
          </w:p>
        </w:tc>
        <w:tc>
          <w:tcPr>
            <w:tcW w:w="1470" w:type="dxa"/>
            <w:shd w:val="clear" w:color="auto" w:fill="auto"/>
          </w:tcPr>
          <w:p w14:paraId="005B53F6" w14:textId="77777777" w:rsidR="00C92E14" w:rsidRPr="00937662" w:rsidRDefault="00C92E14" w:rsidP="00C92E14">
            <w:r w:rsidRPr="00937662">
              <w:t xml:space="preserve">Finalizimi i KONCEPT DOKUMENTIT </w:t>
            </w:r>
          </w:p>
        </w:tc>
        <w:tc>
          <w:tcPr>
            <w:tcW w:w="1937" w:type="dxa"/>
            <w:shd w:val="clear" w:color="auto" w:fill="auto"/>
          </w:tcPr>
          <w:p w14:paraId="4AB0BB24" w14:textId="77777777" w:rsidR="00C92E14" w:rsidRPr="00937662" w:rsidRDefault="00C92E14" w:rsidP="00C92E14">
            <w:r w:rsidRPr="00937662">
              <w:t>Dorëzimi i Koncept Dokumentit për nënshkrim nga Ministri dhe miratim në Qeveri</w:t>
            </w:r>
          </w:p>
        </w:tc>
        <w:tc>
          <w:tcPr>
            <w:tcW w:w="1250" w:type="dxa"/>
            <w:shd w:val="clear" w:color="auto" w:fill="auto"/>
          </w:tcPr>
          <w:p w14:paraId="79082573" w14:textId="63777579" w:rsidR="00C92E14" w:rsidRPr="00937662" w:rsidRDefault="008778B1" w:rsidP="00C92E14">
            <w:r>
              <w:t>Nëntor-dhjetor 2024</w:t>
            </w:r>
          </w:p>
        </w:tc>
        <w:tc>
          <w:tcPr>
            <w:tcW w:w="954" w:type="dxa"/>
            <w:shd w:val="clear" w:color="auto" w:fill="auto"/>
          </w:tcPr>
          <w:p w14:paraId="48919F0B" w14:textId="77777777" w:rsidR="00C92E14" w:rsidRPr="00937662" w:rsidRDefault="00C92E14" w:rsidP="00E673E6">
            <w:pPr>
              <w:jc w:val="both"/>
            </w:pPr>
            <w:r w:rsidRPr="00937662">
              <w:t>Të përcaktohet</w:t>
            </w:r>
          </w:p>
        </w:tc>
        <w:tc>
          <w:tcPr>
            <w:tcW w:w="1443" w:type="dxa"/>
            <w:shd w:val="clear" w:color="auto" w:fill="auto"/>
          </w:tcPr>
          <w:p w14:paraId="158F42FD" w14:textId="77777777" w:rsidR="00C92E14" w:rsidRPr="00937662" w:rsidRDefault="00C92E14" w:rsidP="00C92E14">
            <w:pPr>
              <w:rPr>
                <w:lang w:val="en-GB"/>
              </w:rPr>
            </w:pPr>
          </w:p>
        </w:tc>
      </w:tr>
    </w:tbl>
    <w:p w14:paraId="6FDED8AD" w14:textId="77777777" w:rsidR="00C92E14" w:rsidRPr="00937662" w:rsidRDefault="00C92E14" w:rsidP="00C92E14">
      <w:pPr>
        <w:rPr>
          <w:lang w:val="en-GB"/>
        </w:rPr>
      </w:pPr>
    </w:p>
    <w:p w14:paraId="532B5A2F" w14:textId="77777777" w:rsidR="00C92E14" w:rsidRPr="00937662" w:rsidRDefault="00C92E14" w:rsidP="00C92E14">
      <w:r w:rsidRPr="00937662">
        <w:br w:type="page"/>
      </w:r>
    </w:p>
    <w:p w14:paraId="412FA84C" w14:textId="168CB798" w:rsidR="00C92E14" w:rsidRPr="00937662" w:rsidRDefault="00C92E14" w:rsidP="00CE7960">
      <w:pPr>
        <w:pStyle w:val="Heading1"/>
        <w:rPr>
          <w:rFonts w:ascii="Times New Roman" w:hAnsi="Times New Roman" w:cs="Times New Roman"/>
          <w:b/>
          <w:bCs/>
        </w:rPr>
      </w:pPr>
      <w:bookmarkStart w:id="23" w:name="_Toc66089564"/>
      <w:bookmarkStart w:id="24" w:name="_Toc69198230"/>
      <w:r w:rsidRPr="00937662">
        <w:rPr>
          <w:rFonts w:ascii="Times New Roman" w:hAnsi="Times New Roman" w:cs="Times New Roman"/>
          <w:b/>
        </w:rPr>
        <w:lastRenderedPageBreak/>
        <w:t>Kapitulli 6: Krahasimi i opsioneve</w:t>
      </w:r>
      <w:bookmarkEnd w:id="23"/>
      <w:bookmarkEnd w:id="24"/>
      <w:r w:rsidRPr="00937662">
        <w:rPr>
          <w:rFonts w:ascii="Times New Roman" w:hAnsi="Times New Roman" w:cs="Times New Roman"/>
          <w:b/>
        </w:rPr>
        <w:t xml:space="preserve"> </w:t>
      </w:r>
    </w:p>
    <w:p w14:paraId="5C5842AD" w14:textId="77777777" w:rsidR="00C92E14" w:rsidRPr="00937662" w:rsidRDefault="00C92E14" w:rsidP="00E673E6">
      <w:pPr>
        <w:jc w:val="both"/>
        <w:rPr>
          <w:lang w:val="en-GB"/>
        </w:rPr>
      </w:pPr>
    </w:p>
    <w:p w14:paraId="4102C33C" w14:textId="22B338D0" w:rsidR="00C92E14" w:rsidRPr="00937662" w:rsidRDefault="00C92E14" w:rsidP="00E673E6">
      <w:pPr>
        <w:jc w:val="both"/>
      </w:pPr>
      <w:r w:rsidRPr="00937662">
        <w:t xml:space="preserve">Duke pasur parasysh që opsionet janë paraqitur </w:t>
      </w:r>
      <w:proofErr w:type="spellStart"/>
      <w:r w:rsidRPr="00937662">
        <w:t>detajisht</w:t>
      </w:r>
      <w:proofErr w:type="spellEnd"/>
      <w:r w:rsidRPr="00937662">
        <w:t xml:space="preserve"> më lartë, kjo pjesë do të trajtojë shkurtimisht përparësitë dhe dobësitë e opsioneve në kontekst. </w:t>
      </w:r>
      <w:r w:rsidRPr="00937662">
        <w:rPr>
          <w:i/>
        </w:rPr>
        <w:t xml:space="preserve">Opsioni "Pa ndryshim" </w:t>
      </w:r>
      <w:r w:rsidRPr="00937662">
        <w:t xml:space="preserve">nuk jep përfitime. </w:t>
      </w:r>
      <w:r w:rsidR="008778B1">
        <w:t>V</w:t>
      </w:r>
      <w:r w:rsidRPr="00937662">
        <w:t>eprimet në kuadër t</w:t>
      </w:r>
      <w:r w:rsidRPr="00CF6DB5">
        <w:t xml:space="preserve">ë </w:t>
      </w:r>
      <w:r w:rsidRPr="00466FE1">
        <w:rPr>
          <w:i/>
        </w:rPr>
        <w:t xml:space="preserve">Opsionit 2 </w:t>
      </w:r>
      <w:r w:rsidRPr="00466FE1">
        <w:t xml:space="preserve">përmirësojnë zbatimin e </w:t>
      </w:r>
      <w:r w:rsidR="0075778F" w:rsidRPr="00466FE1">
        <w:t>l</w:t>
      </w:r>
      <w:r w:rsidRPr="00466FE1">
        <w:t xml:space="preserve">igjit ekzistues për </w:t>
      </w:r>
      <w:r w:rsidR="0075778F" w:rsidRPr="00466FE1">
        <w:t>m</w:t>
      </w:r>
      <w:r w:rsidR="00D9737F" w:rsidRPr="00466FE1">
        <w:t xml:space="preserve">asat </w:t>
      </w:r>
      <w:proofErr w:type="spellStart"/>
      <w:r w:rsidR="0075778F" w:rsidRPr="00466FE1">
        <w:t>a</w:t>
      </w:r>
      <w:r w:rsidR="00D9737F" w:rsidRPr="00466FE1">
        <w:t>ntidamping</w:t>
      </w:r>
      <w:proofErr w:type="spellEnd"/>
      <w:r w:rsidR="00D9737F" w:rsidRPr="00466FE1">
        <w:t xml:space="preserve"> dhe </w:t>
      </w:r>
      <w:r w:rsidR="0075778F" w:rsidRPr="00466FE1">
        <w:t>m</w:t>
      </w:r>
      <w:r w:rsidR="00D9737F" w:rsidRPr="00466FE1">
        <w:t xml:space="preserve">asat </w:t>
      </w:r>
      <w:proofErr w:type="spellStart"/>
      <w:r w:rsidR="0075778F" w:rsidRPr="00466FE1">
        <w:t>k</w:t>
      </w:r>
      <w:r w:rsidR="00D9737F" w:rsidRPr="00466FE1">
        <w:t>und</w:t>
      </w:r>
      <w:r w:rsidR="00E2780F" w:rsidRPr="00466FE1">
        <w:t>ë</w:t>
      </w:r>
      <w:r w:rsidR="00D9737F" w:rsidRPr="00466FE1">
        <w:t>rbalancuese</w:t>
      </w:r>
      <w:proofErr w:type="spellEnd"/>
      <w:r w:rsidRPr="00466FE1">
        <w:t xml:space="preserve">, </w:t>
      </w:r>
      <w:r w:rsidR="008778B1" w:rsidRPr="00466FE1">
        <w:t>qart</w:t>
      </w:r>
      <w:r w:rsidR="00BE60D9" w:rsidRPr="00466FE1">
        <w:t>ë</w:t>
      </w:r>
      <w:r w:rsidR="008778B1" w:rsidRPr="00466FE1">
        <w:t>sia e neneve do t</w:t>
      </w:r>
      <w:r w:rsidR="00BE60D9" w:rsidRPr="00466FE1">
        <w:t>ë</w:t>
      </w:r>
      <w:r w:rsidR="008778B1" w:rsidRPr="00466FE1">
        <w:t xml:space="preserve"> kontribuonte n</w:t>
      </w:r>
      <w:r w:rsidR="00BE60D9" w:rsidRPr="00466FE1">
        <w:t>ë</w:t>
      </w:r>
      <w:r w:rsidR="008778B1" w:rsidRPr="00466FE1">
        <w:t xml:space="preserve"> mas</w:t>
      </w:r>
      <w:r w:rsidR="00BE60D9" w:rsidRPr="00466FE1">
        <w:t>ë</w:t>
      </w:r>
      <w:r w:rsidR="008778B1" w:rsidRPr="00466FE1">
        <w:t xml:space="preserve"> t</w:t>
      </w:r>
      <w:r w:rsidR="00BE60D9" w:rsidRPr="00466FE1">
        <w:t>ë</w:t>
      </w:r>
      <w:r w:rsidR="008778B1" w:rsidRPr="00466FE1">
        <w:t xml:space="preserve"> madhe n</w:t>
      </w:r>
      <w:r w:rsidR="00BE60D9" w:rsidRPr="00466FE1">
        <w:t>ë</w:t>
      </w:r>
      <w:r w:rsidR="008778B1" w:rsidRPr="00466FE1">
        <w:t xml:space="preserve"> implementimin dhe mbrojtje efikase t</w:t>
      </w:r>
      <w:r w:rsidR="00BE60D9" w:rsidRPr="00466FE1">
        <w:t>ë</w:t>
      </w:r>
      <w:r w:rsidR="008778B1" w:rsidRPr="00466FE1">
        <w:t xml:space="preserve"> tregut</w:t>
      </w:r>
      <w:r w:rsidR="00A21B11" w:rsidRPr="00466FE1">
        <w:t xml:space="preserve">, </w:t>
      </w:r>
      <w:proofErr w:type="spellStart"/>
      <w:r w:rsidR="00A21B11" w:rsidRPr="00466FE1">
        <w:t>mirpo</w:t>
      </w:r>
      <w:proofErr w:type="spellEnd"/>
      <w:r w:rsidR="00A21B11" w:rsidRPr="00466FE1">
        <w:t xml:space="preserve"> nuk do të rregullonte në tërësi </w:t>
      </w:r>
      <w:proofErr w:type="spellStart"/>
      <w:r w:rsidR="00A21B11" w:rsidRPr="00466FE1">
        <w:t>zbatueshmerine</w:t>
      </w:r>
      <w:proofErr w:type="spellEnd"/>
      <w:r w:rsidR="00A21B11" w:rsidRPr="00466FE1">
        <w:t xml:space="preserve"> e ligjit</w:t>
      </w:r>
      <w:r w:rsidRPr="00937662">
        <w:t xml:space="preserve"> </w:t>
      </w:r>
      <w:r w:rsidRPr="00937662">
        <w:rPr>
          <w:i/>
        </w:rPr>
        <w:t>Opsioni 3</w:t>
      </w:r>
      <w:r w:rsidRPr="00937662">
        <w:t xml:space="preserve"> mbetet opsioni më i përshtatshëm për të rritur gjasat për një </w:t>
      </w:r>
      <w:r w:rsidR="008778B1">
        <w:t>ligj t</w:t>
      </w:r>
      <w:r w:rsidR="00BE60D9">
        <w:t>ë</w:t>
      </w:r>
      <w:r w:rsidR="008778B1">
        <w:t xml:space="preserve"> hartuar n</w:t>
      </w:r>
      <w:r w:rsidR="00BE60D9">
        <w:t>ë</w:t>
      </w:r>
      <w:r w:rsidR="008778B1">
        <w:t xml:space="preserve"> m</w:t>
      </w:r>
      <w:r w:rsidR="00BE60D9">
        <w:t>ë</w:t>
      </w:r>
      <w:r w:rsidR="008778B1">
        <w:t>nyr</w:t>
      </w:r>
      <w:r w:rsidR="00BE60D9">
        <w:t>ë</w:t>
      </w:r>
      <w:r w:rsidR="008778B1">
        <w:t xml:space="preserve"> t</w:t>
      </w:r>
      <w:r w:rsidR="00BE60D9">
        <w:t>ë</w:t>
      </w:r>
      <w:r w:rsidR="008778B1">
        <w:t xml:space="preserve"> qart</w:t>
      </w:r>
      <w:r w:rsidR="00BE60D9">
        <w:t>ë</w:t>
      </w:r>
      <w:r w:rsidR="008778B1">
        <w:t>, leht</w:t>
      </w:r>
      <w:r w:rsidR="00BE60D9">
        <w:t>ë</w:t>
      </w:r>
      <w:r w:rsidR="008778B1">
        <w:t>sisht t</w:t>
      </w:r>
      <w:r w:rsidR="00BE60D9">
        <w:t>ë</w:t>
      </w:r>
      <w:r w:rsidR="008778B1">
        <w:t xml:space="preserve"> kuptuesh</w:t>
      </w:r>
      <w:r w:rsidR="00BE60D9">
        <w:t>ë</w:t>
      </w:r>
      <w:r w:rsidR="008778B1">
        <w:t>m nga aspekti i zhvillimeve t</w:t>
      </w:r>
      <w:r w:rsidR="00BE60D9">
        <w:t>ë</w:t>
      </w:r>
      <w:r w:rsidR="008778B1">
        <w:t xml:space="preserve"> procedurave t</w:t>
      </w:r>
      <w:r w:rsidR="00BE60D9">
        <w:t>ë</w:t>
      </w:r>
      <w:r w:rsidR="008778B1">
        <w:t xml:space="preserve"> parapara n</w:t>
      </w:r>
      <w:r w:rsidR="00BE60D9">
        <w:t>ë</w:t>
      </w:r>
      <w:r w:rsidR="008778B1">
        <w:t xml:space="preserve"> ligj dhe rrjedhimisht nj</w:t>
      </w:r>
      <w:r w:rsidR="00BE60D9">
        <w:t>ë</w:t>
      </w:r>
      <w:r w:rsidR="008778B1">
        <w:t xml:space="preserve"> </w:t>
      </w:r>
      <w:r w:rsidRPr="00937662">
        <w:t xml:space="preserve">treg të </w:t>
      </w:r>
      <w:r w:rsidR="008778B1">
        <w:t>mbrojtur mir</w:t>
      </w:r>
      <w:r w:rsidR="00BE60D9">
        <w:t>ë</w:t>
      </w:r>
      <w:r w:rsidR="008778B1">
        <w:t xml:space="preserve">. </w:t>
      </w:r>
      <w:r w:rsidRPr="00937662">
        <w:t xml:space="preserve"> </w:t>
      </w:r>
    </w:p>
    <w:p w14:paraId="2208AD37" w14:textId="77777777" w:rsidR="00C92E14" w:rsidRPr="00937662" w:rsidRDefault="00C92E14" w:rsidP="00E673E6">
      <w:pPr>
        <w:jc w:val="both"/>
        <w:rPr>
          <w:lang w:val="en-GB"/>
        </w:rPr>
      </w:pPr>
    </w:p>
    <w:p w14:paraId="41E9D758" w14:textId="619A0733" w:rsidR="00C92E14" w:rsidRPr="00937662" w:rsidRDefault="00C92E14" w:rsidP="003D019A">
      <w:pPr>
        <w:pStyle w:val="Heading2"/>
      </w:pPr>
      <w:bookmarkStart w:id="25" w:name="_Toc69198231"/>
      <w:r w:rsidRPr="00937662">
        <w:t>Kapitulli 6.1</w:t>
      </w:r>
      <w:r w:rsidRPr="00937662">
        <w:rPr>
          <w:rStyle w:val="Heading2Char"/>
        </w:rPr>
        <w:t>:</w:t>
      </w:r>
      <w:r w:rsidRPr="00937662">
        <w:t xml:space="preserve"> Plani i zbatimit për opsionin e preferuar</w:t>
      </w:r>
      <w:bookmarkEnd w:id="25"/>
    </w:p>
    <w:p w14:paraId="1E7708EF" w14:textId="46DB9F58" w:rsidR="00C92E14" w:rsidRPr="00937662" w:rsidRDefault="00C92E14" w:rsidP="00FB7B37">
      <w:pPr>
        <w:jc w:val="both"/>
      </w:pPr>
      <w:r w:rsidRPr="00937662">
        <w:t xml:space="preserve">Duke pasur parasysh përshkrimin e hollësishëm të sfidave që Opsioni </w:t>
      </w:r>
      <w:r w:rsidRPr="00466FE1">
        <w:t>3</w:t>
      </w:r>
      <w:r w:rsidRPr="00937662">
        <w:t xml:space="preserve"> synon të shtjellojë, si dhe përfitimet pasuese nëse miratohet opsioni 3, kjo pjesë përqendrohet në planin e zbatimit për të ndryshuar </w:t>
      </w:r>
      <w:r w:rsidR="0075778F">
        <w:t>l</w:t>
      </w:r>
      <w:r w:rsidRPr="00937662">
        <w:t xml:space="preserve">igjin për </w:t>
      </w:r>
      <w:r w:rsidR="0075778F">
        <w:t>m</w:t>
      </w:r>
      <w:r w:rsidR="00D9737F" w:rsidRPr="00D9737F">
        <w:t xml:space="preserve">asat </w:t>
      </w:r>
      <w:proofErr w:type="spellStart"/>
      <w:r w:rsidR="0075778F">
        <w:t>a</w:t>
      </w:r>
      <w:r w:rsidR="00D9737F" w:rsidRPr="00D9737F">
        <w:t>ntidamping</w:t>
      </w:r>
      <w:proofErr w:type="spellEnd"/>
      <w:r w:rsidR="00D9737F" w:rsidRPr="00D9737F">
        <w:t xml:space="preserve"> dhe </w:t>
      </w:r>
      <w:r w:rsidR="0075778F">
        <w:t>m</w:t>
      </w:r>
      <w:r w:rsidR="00D9737F" w:rsidRPr="00D9737F">
        <w:t xml:space="preserve">asat </w:t>
      </w:r>
      <w:proofErr w:type="spellStart"/>
      <w:r w:rsidR="0075778F">
        <w:t>k</w:t>
      </w:r>
      <w:r w:rsidR="00D9737F" w:rsidRPr="00D9737F">
        <w:t>und</w:t>
      </w:r>
      <w:r w:rsidR="00E2780F">
        <w:t>ë</w:t>
      </w:r>
      <w:r w:rsidR="00D9737F" w:rsidRPr="00D9737F">
        <w:t>rbalancuese</w:t>
      </w:r>
      <w:proofErr w:type="spellEnd"/>
      <w:r w:rsidR="00D9737F" w:rsidRPr="00D9737F">
        <w:t xml:space="preserve"> </w:t>
      </w:r>
      <w:r w:rsidRPr="00937662">
        <w:t xml:space="preserve">me qëllim të </w:t>
      </w:r>
      <w:r w:rsidR="00CF6DB5">
        <w:t xml:space="preserve">parandalimi dhe luftimit te </w:t>
      </w:r>
      <w:proofErr w:type="spellStart"/>
      <w:r w:rsidR="00CF6DB5">
        <w:t>tregtise</w:t>
      </w:r>
      <w:proofErr w:type="spellEnd"/>
      <w:r w:rsidR="00CF6DB5">
        <w:t xml:space="preserve"> se pandershme ne importe</w:t>
      </w:r>
      <w:r w:rsidR="00FB7B37" w:rsidRPr="00937662">
        <w:t>.</w:t>
      </w:r>
    </w:p>
    <w:p w14:paraId="579E7AC3" w14:textId="3D457691" w:rsidR="00C92E14" w:rsidRPr="00937662" w:rsidRDefault="00CE7960" w:rsidP="00FB7B37">
      <w:pPr>
        <w:pStyle w:val="Caption"/>
        <w:keepNext/>
        <w:rPr>
          <w:color w:val="2E74B5" w:themeColor="accent1" w:themeShade="BF"/>
          <w:sz w:val="24"/>
          <w:szCs w:val="24"/>
        </w:rPr>
      </w:pPr>
      <w:r w:rsidRPr="00937662">
        <w:rPr>
          <w:color w:val="2E74B5" w:themeColor="accent1" w:themeShade="BF"/>
          <w:sz w:val="24"/>
          <w:szCs w:val="24"/>
        </w:rPr>
        <w:t xml:space="preserve">Tabela </w:t>
      </w:r>
      <w:r w:rsidR="00A717EE">
        <w:rPr>
          <w:color w:val="2E74B5" w:themeColor="accent1" w:themeShade="BF"/>
          <w:sz w:val="24"/>
          <w:szCs w:val="24"/>
        </w:rPr>
        <w:t>8</w:t>
      </w:r>
      <w:r w:rsidR="006549E0" w:rsidRPr="00937662">
        <w:rPr>
          <w:color w:val="2E74B5" w:themeColor="accent1" w:themeShade="BF"/>
          <w:sz w:val="24"/>
          <w:szCs w:val="24"/>
        </w:rPr>
        <w:t xml:space="preserve">: </w:t>
      </w:r>
      <w:r w:rsidRPr="00937662">
        <w:rPr>
          <w:color w:val="2E74B5" w:themeColor="accent1" w:themeShade="BF"/>
          <w:sz w:val="24"/>
          <w:szCs w:val="24"/>
        </w:rPr>
        <w:t xml:space="preserve">Plani i Zbatimit për </w:t>
      </w:r>
      <w:r w:rsidRPr="00466FE1">
        <w:rPr>
          <w:color w:val="2E74B5" w:themeColor="accent1" w:themeShade="BF"/>
          <w:sz w:val="24"/>
          <w:szCs w:val="24"/>
        </w:rPr>
        <w:t>Opsionin</w:t>
      </w:r>
      <w:r w:rsidR="00CF710B" w:rsidRPr="00466FE1">
        <w:rPr>
          <w:color w:val="2E74B5" w:themeColor="accent1" w:themeShade="BF"/>
          <w:sz w:val="24"/>
          <w:szCs w:val="24"/>
        </w:rPr>
        <w:t xml:space="preserve"> </w:t>
      </w:r>
      <w:r w:rsidRPr="00466FE1">
        <w:rPr>
          <w:color w:val="2E74B5" w:themeColor="accent1" w:themeShade="BF"/>
          <w:sz w:val="24"/>
          <w:szCs w:val="24"/>
        </w:rPr>
        <w:t xml:space="preserve"> 3:</w:t>
      </w:r>
      <w:r w:rsidRPr="00937662">
        <w:rPr>
          <w:color w:val="2E74B5" w:themeColor="accent1" w:themeShade="BF"/>
          <w:sz w:val="24"/>
          <w:szCs w:val="24"/>
        </w:rPr>
        <w:t xml:space="preserve"> Hartimi dhe zbatimi i Ligjit të ri për </w:t>
      </w:r>
      <w:r w:rsidR="00D9737F" w:rsidRPr="00D9737F">
        <w:rPr>
          <w:color w:val="2E74B5" w:themeColor="accent1" w:themeShade="BF"/>
          <w:sz w:val="24"/>
          <w:szCs w:val="24"/>
        </w:rPr>
        <w:t xml:space="preserve">Masat </w:t>
      </w:r>
      <w:proofErr w:type="spellStart"/>
      <w:r w:rsidR="00D9737F" w:rsidRPr="00D9737F">
        <w:rPr>
          <w:color w:val="2E74B5" w:themeColor="accent1" w:themeShade="BF"/>
          <w:sz w:val="24"/>
          <w:szCs w:val="24"/>
        </w:rPr>
        <w:t>Antidamping</w:t>
      </w:r>
      <w:proofErr w:type="spellEnd"/>
      <w:r w:rsidR="00D9737F" w:rsidRPr="00D9737F">
        <w:rPr>
          <w:color w:val="2E74B5" w:themeColor="accent1" w:themeShade="BF"/>
          <w:sz w:val="24"/>
          <w:szCs w:val="24"/>
        </w:rPr>
        <w:t xml:space="preserve"> dhe Masat </w:t>
      </w:r>
      <w:proofErr w:type="spellStart"/>
      <w:r w:rsidR="00D9737F" w:rsidRPr="00D9737F">
        <w:rPr>
          <w:color w:val="2E74B5" w:themeColor="accent1" w:themeShade="BF"/>
          <w:sz w:val="24"/>
          <w:szCs w:val="24"/>
        </w:rPr>
        <w:t>Kund</w:t>
      </w:r>
      <w:r w:rsidR="00E2780F">
        <w:rPr>
          <w:color w:val="2E74B5" w:themeColor="accent1" w:themeShade="BF"/>
          <w:sz w:val="24"/>
          <w:szCs w:val="24"/>
        </w:rPr>
        <w:t>ë</w:t>
      </w:r>
      <w:r w:rsidR="00D9737F" w:rsidRPr="00D9737F">
        <w:rPr>
          <w:color w:val="2E74B5" w:themeColor="accent1" w:themeShade="BF"/>
          <w:sz w:val="24"/>
          <w:szCs w:val="24"/>
        </w:rPr>
        <w:t>rbalancuese</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592"/>
        <w:gridCol w:w="1968"/>
        <w:gridCol w:w="856"/>
        <w:gridCol w:w="851"/>
        <w:gridCol w:w="850"/>
        <w:gridCol w:w="794"/>
        <w:gridCol w:w="810"/>
        <w:gridCol w:w="1085"/>
        <w:gridCol w:w="1345"/>
      </w:tblGrid>
      <w:tr w:rsidR="00C92E14" w:rsidRPr="00937662" w14:paraId="4DA5D285" w14:textId="77777777" w:rsidTr="00577F36">
        <w:trPr>
          <w:jc w:val="center"/>
        </w:trPr>
        <w:tc>
          <w:tcPr>
            <w:tcW w:w="1824" w:type="dxa"/>
            <w:shd w:val="clear" w:color="auto" w:fill="9CC2E5" w:themeFill="accent1" w:themeFillTint="99"/>
          </w:tcPr>
          <w:p w14:paraId="75D85EAF" w14:textId="77777777" w:rsidR="00C92E14" w:rsidRPr="00937662" w:rsidRDefault="00C92E14" w:rsidP="00C92E14">
            <w:pPr>
              <w:rPr>
                <w:b/>
                <w:bCs/>
              </w:rPr>
            </w:pPr>
            <w:r w:rsidRPr="00937662">
              <w:rPr>
                <w:b/>
              </w:rPr>
              <w:t>Qëllimi i politikës</w:t>
            </w:r>
          </w:p>
        </w:tc>
        <w:tc>
          <w:tcPr>
            <w:tcW w:w="7806" w:type="dxa"/>
            <w:gridSpan w:val="8"/>
            <w:shd w:val="clear" w:color="auto" w:fill="auto"/>
          </w:tcPr>
          <w:p w14:paraId="08B5433C" w14:textId="3AEF310D" w:rsidR="00C92E14" w:rsidRPr="00937662" w:rsidRDefault="00C92E14" w:rsidP="008778B1">
            <w:r w:rsidRPr="00937662">
              <w:t xml:space="preserve">Niveli i lartë i </w:t>
            </w:r>
            <w:r w:rsidR="008778B1">
              <w:t>mbrojtjes s</w:t>
            </w:r>
            <w:r w:rsidR="00BE60D9">
              <w:t>ë</w:t>
            </w:r>
            <w:r w:rsidR="008778B1">
              <w:t xml:space="preserve"> Industrisë vendore</w:t>
            </w:r>
          </w:p>
        </w:tc>
        <w:tc>
          <w:tcPr>
            <w:tcW w:w="1345" w:type="dxa"/>
            <w:vMerge w:val="restart"/>
            <w:shd w:val="clear" w:color="auto" w:fill="auto"/>
          </w:tcPr>
          <w:p w14:paraId="2CE0F864" w14:textId="77777777" w:rsidR="00C92E14" w:rsidRPr="00937662" w:rsidRDefault="00C92E14" w:rsidP="00C92E14">
            <w:r w:rsidRPr="00937662">
              <w:t>Shifra e vlerësuar e kostos</w:t>
            </w:r>
          </w:p>
        </w:tc>
      </w:tr>
      <w:tr w:rsidR="00C92E14" w:rsidRPr="00937662" w14:paraId="1CA89DA5" w14:textId="77777777" w:rsidTr="00577F36">
        <w:trPr>
          <w:jc w:val="center"/>
        </w:trPr>
        <w:tc>
          <w:tcPr>
            <w:tcW w:w="1824" w:type="dxa"/>
            <w:shd w:val="clear" w:color="auto" w:fill="9CC2E5" w:themeFill="accent1" w:themeFillTint="99"/>
          </w:tcPr>
          <w:p w14:paraId="6D8A0903" w14:textId="77777777" w:rsidR="00C92E14" w:rsidRPr="00937662" w:rsidRDefault="00C92E14" w:rsidP="00C92E14">
            <w:pPr>
              <w:rPr>
                <w:b/>
                <w:bCs/>
              </w:rPr>
            </w:pPr>
            <w:r w:rsidRPr="00937662">
              <w:rPr>
                <w:b/>
              </w:rPr>
              <w:t>Pikësynimi strategjik</w:t>
            </w:r>
          </w:p>
        </w:tc>
        <w:tc>
          <w:tcPr>
            <w:tcW w:w="7806" w:type="dxa"/>
            <w:gridSpan w:val="8"/>
            <w:shd w:val="clear" w:color="auto" w:fill="auto"/>
          </w:tcPr>
          <w:p w14:paraId="6388A9FB" w14:textId="0CEF8F3B" w:rsidR="00C92E14" w:rsidRPr="00937662" w:rsidRDefault="007B55C4" w:rsidP="00C92E14">
            <w:r w:rsidRPr="007B55C4">
              <w:t xml:space="preserve">Rritja e efikasitetit të ligjit për masat </w:t>
            </w:r>
            <w:proofErr w:type="spellStart"/>
            <w:r w:rsidRPr="007B55C4">
              <w:t>antidamping</w:t>
            </w:r>
            <w:proofErr w:type="spellEnd"/>
            <w:r w:rsidRPr="007B55C4">
              <w:t xml:space="preserve"> dhe masat </w:t>
            </w:r>
            <w:proofErr w:type="spellStart"/>
            <w:r w:rsidRPr="007B55C4">
              <w:t>kundërbalancuese</w:t>
            </w:r>
            <w:proofErr w:type="spellEnd"/>
            <w:r w:rsidRPr="007B55C4">
              <w:t xml:space="preserve"> duke mundësuar një sistem koherent të rregullave për mbrojtjen e tregut.</w:t>
            </w:r>
          </w:p>
        </w:tc>
        <w:tc>
          <w:tcPr>
            <w:tcW w:w="1345" w:type="dxa"/>
            <w:vMerge/>
            <w:shd w:val="clear" w:color="auto" w:fill="auto"/>
          </w:tcPr>
          <w:p w14:paraId="0CEDDF9F" w14:textId="77777777" w:rsidR="00C92E14" w:rsidRPr="00937662" w:rsidRDefault="00C92E14" w:rsidP="00C92E14">
            <w:pPr>
              <w:rPr>
                <w:lang w:val="en-GB"/>
              </w:rPr>
            </w:pPr>
          </w:p>
        </w:tc>
      </w:tr>
      <w:tr w:rsidR="00C92E14" w:rsidRPr="00937662" w14:paraId="28659A12" w14:textId="77777777" w:rsidTr="00577F36">
        <w:trPr>
          <w:jc w:val="center"/>
        </w:trPr>
        <w:tc>
          <w:tcPr>
            <w:tcW w:w="1824" w:type="dxa"/>
            <w:shd w:val="clear" w:color="auto" w:fill="9CC2E5" w:themeFill="accent1" w:themeFillTint="99"/>
          </w:tcPr>
          <w:p w14:paraId="0BB49657" w14:textId="77777777" w:rsidR="00C92E14" w:rsidRPr="00937662" w:rsidRDefault="00C92E14" w:rsidP="00C92E14">
            <w:pPr>
              <w:rPr>
                <w:lang w:val="en-GB"/>
              </w:rPr>
            </w:pPr>
          </w:p>
        </w:tc>
        <w:tc>
          <w:tcPr>
            <w:tcW w:w="7806" w:type="dxa"/>
            <w:gridSpan w:val="8"/>
            <w:shd w:val="clear" w:color="auto" w:fill="auto"/>
          </w:tcPr>
          <w:p w14:paraId="29F84174" w14:textId="77777777" w:rsidR="00C92E14" w:rsidRPr="00937662" w:rsidRDefault="00C92E14" w:rsidP="00C92E14">
            <w:r w:rsidRPr="00937662">
              <w:t>Rezultati (</w:t>
            </w:r>
            <w:proofErr w:type="spellStart"/>
            <w:r w:rsidRPr="00937662">
              <w:t>autputi</w:t>
            </w:r>
            <w:proofErr w:type="spellEnd"/>
            <w:r w:rsidRPr="00937662">
              <w:t>), aktivitetet, viti dhe organizata / departamenti përgjegjës</w:t>
            </w:r>
          </w:p>
        </w:tc>
        <w:tc>
          <w:tcPr>
            <w:tcW w:w="1345" w:type="dxa"/>
            <w:vMerge/>
            <w:shd w:val="clear" w:color="auto" w:fill="auto"/>
          </w:tcPr>
          <w:p w14:paraId="33F3BB4F" w14:textId="77777777" w:rsidR="00C92E14" w:rsidRPr="00937662" w:rsidRDefault="00C92E14" w:rsidP="00C92E14">
            <w:pPr>
              <w:rPr>
                <w:lang w:val="en-GB"/>
              </w:rPr>
            </w:pPr>
          </w:p>
        </w:tc>
      </w:tr>
      <w:tr w:rsidR="00C92E14" w:rsidRPr="00937662" w14:paraId="413ABC4D" w14:textId="77777777" w:rsidTr="00577F36">
        <w:trPr>
          <w:jc w:val="center"/>
        </w:trPr>
        <w:tc>
          <w:tcPr>
            <w:tcW w:w="1824" w:type="dxa"/>
            <w:vMerge w:val="restart"/>
            <w:shd w:val="clear" w:color="auto" w:fill="9CC2E5" w:themeFill="accent1" w:themeFillTint="99"/>
          </w:tcPr>
          <w:p w14:paraId="5CD46C3E" w14:textId="77777777" w:rsidR="00C92E14" w:rsidRPr="00937662" w:rsidRDefault="00C92E14" w:rsidP="00C92E14">
            <w:r w:rsidRPr="00937662">
              <w:t xml:space="preserve">Pikësynimi specifik 1: </w:t>
            </w:r>
          </w:p>
          <w:p w14:paraId="5C498035" w14:textId="36807542" w:rsidR="00C92E14" w:rsidRPr="00937662" w:rsidRDefault="00C92E14" w:rsidP="00C92E14">
            <w:r w:rsidRPr="00937662">
              <w:t xml:space="preserve">Miratimi i Ligjit të ri për </w:t>
            </w:r>
            <w:r w:rsidR="00D9737F">
              <w:t xml:space="preserve">Masat </w:t>
            </w:r>
            <w:proofErr w:type="spellStart"/>
            <w:r w:rsidR="00D9737F">
              <w:t>Antidamping</w:t>
            </w:r>
            <w:proofErr w:type="spellEnd"/>
            <w:r w:rsidR="00D9737F">
              <w:t xml:space="preserve"> dhe Masat </w:t>
            </w:r>
            <w:proofErr w:type="spellStart"/>
            <w:r w:rsidR="00D9737F">
              <w:t>Kund</w:t>
            </w:r>
            <w:r w:rsidR="00E2780F">
              <w:t>ë</w:t>
            </w:r>
            <w:r w:rsidR="00D9737F">
              <w:t>rbalancuese</w:t>
            </w:r>
            <w:proofErr w:type="spellEnd"/>
          </w:p>
          <w:p w14:paraId="0AC84A7F" w14:textId="77777777" w:rsidR="00C92E14" w:rsidRPr="00937662" w:rsidRDefault="00C92E14" w:rsidP="00C92E14">
            <w:pPr>
              <w:rPr>
                <w:lang w:val="en-GB"/>
              </w:rPr>
            </w:pPr>
          </w:p>
          <w:p w14:paraId="40DEAA6D" w14:textId="77777777" w:rsidR="00C92E14" w:rsidRPr="00937662" w:rsidRDefault="00C92E14" w:rsidP="00C92E14">
            <w:pPr>
              <w:rPr>
                <w:lang w:val="en-GB"/>
              </w:rPr>
            </w:pPr>
          </w:p>
        </w:tc>
        <w:tc>
          <w:tcPr>
            <w:tcW w:w="592" w:type="dxa"/>
            <w:vMerge w:val="restart"/>
            <w:shd w:val="clear" w:color="auto" w:fill="auto"/>
          </w:tcPr>
          <w:p w14:paraId="393CEB98" w14:textId="77777777" w:rsidR="00C92E14" w:rsidRPr="00937662" w:rsidRDefault="00C92E14" w:rsidP="00C92E14">
            <w:r w:rsidRPr="00937662">
              <w:t>Output1.1</w:t>
            </w:r>
          </w:p>
        </w:tc>
        <w:tc>
          <w:tcPr>
            <w:tcW w:w="7214" w:type="dxa"/>
            <w:gridSpan w:val="7"/>
            <w:shd w:val="clear" w:color="auto" w:fill="auto"/>
          </w:tcPr>
          <w:p w14:paraId="7E098A56" w14:textId="27810937" w:rsidR="00C92E14" w:rsidRPr="00937662" w:rsidRDefault="00C92E14" w:rsidP="008778B1">
            <w:r w:rsidRPr="00937662">
              <w:t xml:space="preserve">Miratimi i Ligjit të ri për </w:t>
            </w:r>
            <w:r w:rsidR="008778B1">
              <w:t xml:space="preserve">masat </w:t>
            </w:r>
            <w:proofErr w:type="spellStart"/>
            <w:r w:rsidR="008778B1">
              <w:t>antidamping</w:t>
            </w:r>
            <w:proofErr w:type="spellEnd"/>
            <w:r w:rsidR="008778B1">
              <w:t xml:space="preserve"> dhe masat </w:t>
            </w:r>
            <w:proofErr w:type="spellStart"/>
            <w:r w:rsidR="008778B1">
              <w:t>kund</w:t>
            </w:r>
            <w:r w:rsidR="00BE60D9">
              <w:t>ë</w:t>
            </w:r>
            <w:r w:rsidR="008778B1">
              <w:t>rbalancuese</w:t>
            </w:r>
            <w:proofErr w:type="spellEnd"/>
          </w:p>
        </w:tc>
        <w:tc>
          <w:tcPr>
            <w:tcW w:w="1345" w:type="dxa"/>
            <w:shd w:val="clear" w:color="auto" w:fill="auto"/>
          </w:tcPr>
          <w:p w14:paraId="4F0D030C" w14:textId="77777777" w:rsidR="00C92E14" w:rsidRPr="00937662" w:rsidRDefault="00C92E14" w:rsidP="00C92E14">
            <w:pPr>
              <w:rPr>
                <w:lang w:val="en-GB"/>
              </w:rPr>
            </w:pPr>
          </w:p>
        </w:tc>
      </w:tr>
      <w:tr w:rsidR="00C92E14" w:rsidRPr="00937662" w14:paraId="2242F4EB" w14:textId="77777777" w:rsidTr="00577F36">
        <w:trPr>
          <w:jc w:val="center"/>
        </w:trPr>
        <w:tc>
          <w:tcPr>
            <w:tcW w:w="1824" w:type="dxa"/>
            <w:vMerge/>
            <w:shd w:val="clear" w:color="auto" w:fill="9CC2E5" w:themeFill="accent1" w:themeFillTint="99"/>
          </w:tcPr>
          <w:p w14:paraId="0556A0C1" w14:textId="77777777" w:rsidR="00C92E14" w:rsidRPr="00937662" w:rsidRDefault="00C92E14" w:rsidP="00C92E14">
            <w:pPr>
              <w:rPr>
                <w:lang w:val="en-GB"/>
              </w:rPr>
            </w:pPr>
          </w:p>
        </w:tc>
        <w:tc>
          <w:tcPr>
            <w:tcW w:w="592" w:type="dxa"/>
            <w:vMerge/>
            <w:shd w:val="clear" w:color="auto" w:fill="auto"/>
          </w:tcPr>
          <w:p w14:paraId="6761CA3A" w14:textId="77777777" w:rsidR="00C92E14" w:rsidRPr="00937662" w:rsidRDefault="00C92E14" w:rsidP="00C92E14">
            <w:pPr>
              <w:rPr>
                <w:lang w:val="en-GB"/>
              </w:rPr>
            </w:pPr>
          </w:p>
        </w:tc>
        <w:tc>
          <w:tcPr>
            <w:tcW w:w="1968" w:type="dxa"/>
            <w:shd w:val="clear" w:color="auto" w:fill="auto"/>
          </w:tcPr>
          <w:p w14:paraId="2D98032A" w14:textId="77777777" w:rsidR="00C92E14" w:rsidRPr="00937662" w:rsidRDefault="00C92E14" w:rsidP="00C92E14">
            <w:pPr>
              <w:rPr>
                <w:lang w:val="en-GB"/>
              </w:rPr>
            </w:pPr>
          </w:p>
        </w:tc>
        <w:tc>
          <w:tcPr>
            <w:tcW w:w="856" w:type="dxa"/>
            <w:shd w:val="clear" w:color="auto" w:fill="auto"/>
          </w:tcPr>
          <w:p w14:paraId="3BBE31E8" w14:textId="77777777" w:rsidR="00C92E14" w:rsidRPr="00937662" w:rsidRDefault="00C92E14" w:rsidP="00C92E14">
            <w:r w:rsidRPr="00937662">
              <w:t>Viti 1</w:t>
            </w:r>
          </w:p>
        </w:tc>
        <w:tc>
          <w:tcPr>
            <w:tcW w:w="851" w:type="dxa"/>
            <w:shd w:val="clear" w:color="auto" w:fill="auto"/>
          </w:tcPr>
          <w:p w14:paraId="0A8D6E59" w14:textId="77777777" w:rsidR="00C92E14" w:rsidRPr="00937662" w:rsidRDefault="00C92E14" w:rsidP="00C92E14">
            <w:r w:rsidRPr="00937662">
              <w:t>Viti 2</w:t>
            </w:r>
          </w:p>
        </w:tc>
        <w:tc>
          <w:tcPr>
            <w:tcW w:w="850" w:type="dxa"/>
            <w:shd w:val="clear" w:color="auto" w:fill="auto"/>
          </w:tcPr>
          <w:p w14:paraId="6ECEF05F" w14:textId="77777777" w:rsidR="00C92E14" w:rsidRPr="00937662" w:rsidRDefault="00C92E14" w:rsidP="00C92E14">
            <w:r w:rsidRPr="00937662">
              <w:t>Viti 3</w:t>
            </w:r>
          </w:p>
        </w:tc>
        <w:tc>
          <w:tcPr>
            <w:tcW w:w="794" w:type="dxa"/>
            <w:shd w:val="clear" w:color="auto" w:fill="auto"/>
          </w:tcPr>
          <w:p w14:paraId="13E85484" w14:textId="77777777" w:rsidR="00C92E14" w:rsidRPr="00937662" w:rsidRDefault="00C92E14" w:rsidP="00C92E14">
            <w:r w:rsidRPr="00937662">
              <w:t>Viti 4</w:t>
            </w:r>
          </w:p>
        </w:tc>
        <w:tc>
          <w:tcPr>
            <w:tcW w:w="810" w:type="dxa"/>
            <w:shd w:val="clear" w:color="auto" w:fill="auto"/>
          </w:tcPr>
          <w:p w14:paraId="52FF03EC" w14:textId="77777777" w:rsidR="00C92E14" w:rsidRPr="00937662" w:rsidRDefault="00C92E14" w:rsidP="00C92E14">
            <w:r w:rsidRPr="00937662">
              <w:t>Viti 5</w:t>
            </w:r>
          </w:p>
        </w:tc>
        <w:tc>
          <w:tcPr>
            <w:tcW w:w="1085" w:type="dxa"/>
            <w:tcBorders>
              <w:bottom w:val="nil"/>
            </w:tcBorders>
            <w:shd w:val="clear" w:color="auto" w:fill="auto"/>
          </w:tcPr>
          <w:p w14:paraId="1C4668E0" w14:textId="77777777" w:rsidR="00C92E14" w:rsidRPr="00937662" w:rsidRDefault="00C92E14" w:rsidP="00C92E14">
            <w:r w:rsidRPr="00937662">
              <w:t>Institucioni përgjegjës</w:t>
            </w:r>
          </w:p>
        </w:tc>
        <w:tc>
          <w:tcPr>
            <w:tcW w:w="1345" w:type="dxa"/>
            <w:shd w:val="clear" w:color="auto" w:fill="auto"/>
          </w:tcPr>
          <w:p w14:paraId="543221AE" w14:textId="77777777" w:rsidR="00C92E14" w:rsidRPr="00937662" w:rsidRDefault="00C92E14" w:rsidP="00C92E14">
            <w:pPr>
              <w:rPr>
                <w:lang w:val="en-GB"/>
              </w:rPr>
            </w:pPr>
          </w:p>
        </w:tc>
      </w:tr>
      <w:tr w:rsidR="00C92E14" w:rsidRPr="00937662" w14:paraId="6F8FD371" w14:textId="77777777" w:rsidTr="00577F36">
        <w:trPr>
          <w:jc w:val="center"/>
        </w:trPr>
        <w:tc>
          <w:tcPr>
            <w:tcW w:w="1824" w:type="dxa"/>
            <w:vMerge/>
            <w:shd w:val="clear" w:color="auto" w:fill="9CC2E5" w:themeFill="accent1" w:themeFillTint="99"/>
          </w:tcPr>
          <w:p w14:paraId="7DBA93A4" w14:textId="77777777" w:rsidR="00C92E14" w:rsidRPr="00937662" w:rsidRDefault="00C92E14" w:rsidP="00C92E14">
            <w:pPr>
              <w:rPr>
                <w:lang w:val="en-GB"/>
              </w:rPr>
            </w:pPr>
          </w:p>
        </w:tc>
        <w:tc>
          <w:tcPr>
            <w:tcW w:w="592" w:type="dxa"/>
            <w:vMerge/>
            <w:shd w:val="clear" w:color="auto" w:fill="auto"/>
          </w:tcPr>
          <w:p w14:paraId="79BEE439" w14:textId="77777777" w:rsidR="00C92E14" w:rsidRPr="00937662" w:rsidRDefault="00C92E14" w:rsidP="00C92E14">
            <w:pPr>
              <w:rPr>
                <w:lang w:val="en-GB"/>
              </w:rPr>
            </w:pPr>
          </w:p>
        </w:tc>
        <w:tc>
          <w:tcPr>
            <w:tcW w:w="1968" w:type="dxa"/>
            <w:shd w:val="clear" w:color="auto" w:fill="auto"/>
          </w:tcPr>
          <w:p w14:paraId="2B466368" w14:textId="77777777" w:rsidR="00C92E14" w:rsidRPr="00937662" w:rsidRDefault="00C92E14" w:rsidP="00C92E14">
            <w:r w:rsidRPr="00937662">
              <w:t xml:space="preserve">Themelimi i grupit punues për hartimin e ligjit të ri  </w:t>
            </w:r>
          </w:p>
        </w:tc>
        <w:tc>
          <w:tcPr>
            <w:tcW w:w="856" w:type="dxa"/>
            <w:shd w:val="clear" w:color="auto" w:fill="auto"/>
          </w:tcPr>
          <w:p w14:paraId="46605AA2" w14:textId="264E50AC" w:rsidR="00C92E14" w:rsidRPr="00937662" w:rsidRDefault="00A7768E" w:rsidP="00C92E14">
            <w:r>
              <w:t>X</w:t>
            </w:r>
          </w:p>
        </w:tc>
        <w:tc>
          <w:tcPr>
            <w:tcW w:w="851" w:type="dxa"/>
            <w:shd w:val="clear" w:color="auto" w:fill="auto"/>
          </w:tcPr>
          <w:p w14:paraId="7981C81F" w14:textId="5A500B64" w:rsidR="00C92E14" w:rsidRPr="00937662" w:rsidRDefault="00A7768E" w:rsidP="00C92E14">
            <w:pPr>
              <w:rPr>
                <w:lang w:val="en-GB"/>
              </w:rPr>
            </w:pPr>
            <w:r>
              <w:rPr>
                <w:lang w:val="en-GB"/>
              </w:rPr>
              <w:t>X</w:t>
            </w:r>
          </w:p>
        </w:tc>
        <w:tc>
          <w:tcPr>
            <w:tcW w:w="850" w:type="dxa"/>
            <w:shd w:val="clear" w:color="auto" w:fill="auto"/>
          </w:tcPr>
          <w:p w14:paraId="02E75436" w14:textId="31655CA3" w:rsidR="00C92E14" w:rsidRPr="00937662" w:rsidRDefault="00A7768E" w:rsidP="00C92E14">
            <w:pPr>
              <w:rPr>
                <w:lang w:val="en-GB"/>
              </w:rPr>
            </w:pPr>
            <w:r>
              <w:rPr>
                <w:lang w:val="en-GB"/>
              </w:rPr>
              <w:t>X</w:t>
            </w:r>
          </w:p>
        </w:tc>
        <w:tc>
          <w:tcPr>
            <w:tcW w:w="794" w:type="dxa"/>
            <w:shd w:val="clear" w:color="auto" w:fill="auto"/>
          </w:tcPr>
          <w:p w14:paraId="7F965456" w14:textId="77777777" w:rsidR="00C92E14" w:rsidRPr="00937662" w:rsidRDefault="00C92E14" w:rsidP="00C92E14">
            <w:pPr>
              <w:rPr>
                <w:lang w:val="en-GB"/>
              </w:rPr>
            </w:pPr>
          </w:p>
        </w:tc>
        <w:tc>
          <w:tcPr>
            <w:tcW w:w="810" w:type="dxa"/>
            <w:shd w:val="clear" w:color="auto" w:fill="auto"/>
          </w:tcPr>
          <w:p w14:paraId="452E5457" w14:textId="77777777" w:rsidR="00C92E14" w:rsidRPr="00937662" w:rsidRDefault="00C92E14" w:rsidP="00C92E14">
            <w:pPr>
              <w:rPr>
                <w:lang w:val="en-GB"/>
              </w:rPr>
            </w:pPr>
          </w:p>
        </w:tc>
        <w:tc>
          <w:tcPr>
            <w:tcW w:w="1085" w:type="dxa"/>
            <w:shd w:val="clear" w:color="auto" w:fill="auto"/>
          </w:tcPr>
          <w:p w14:paraId="1D666A25" w14:textId="2C872A43" w:rsidR="00C92E14" w:rsidRPr="00937662" w:rsidRDefault="00C92E14" w:rsidP="00374A9B">
            <w:r w:rsidRPr="00937662">
              <w:t xml:space="preserve">Ministria </w:t>
            </w:r>
            <w:r w:rsidR="00374A9B" w:rsidRPr="00937662">
              <w:t xml:space="preserve">e Industrisë, </w:t>
            </w:r>
            <w:proofErr w:type="spellStart"/>
            <w:r w:rsidR="00374A9B" w:rsidRPr="00937662">
              <w:t>Ndërmarrësisë</w:t>
            </w:r>
            <w:proofErr w:type="spellEnd"/>
            <w:r w:rsidR="00374A9B" w:rsidRPr="00937662">
              <w:t xml:space="preserve"> dhe </w:t>
            </w:r>
            <w:r w:rsidR="00374A9B" w:rsidRPr="00937662">
              <w:lastRenderedPageBreak/>
              <w:t>Tregtisë</w:t>
            </w:r>
            <w:r w:rsidRPr="00937662">
              <w:t xml:space="preserve"> (M</w:t>
            </w:r>
            <w:r w:rsidR="00374A9B" w:rsidRPr="00937662">
              <w:t>INT)</w:t>
            </w:r>
          </w:p>
        </w:tc>
        <w:tc>
          <w:tcPr>
            <w:tcW w:w="1345" w:type="dxa"/>
            <w:shd w:val="clear" w:color="auto" w:fill="auto"/>
          </w:tcPr>
          <w:p w14:paraId="7D02CD6D" w14:textId="2CD200D0" w:rsidR="00C92E14" w:rsidRPr="00937662" w:rsidRDefault="007F6BD2" w:rsidP="007F6BD2">
            <w:pPr>
              <w:rPr>
                <w:lang w:val="en-GB"/>
              </w:rPr>
            </w:pPr>
            <w:r>
              <w:rPr>
                <w:lang w:val="en-GB"/>
              </w:rPr>
              <w:lastRenderedPageBreak/>
              <w:t>6</w:t>
            </w:r>
            <w:r w:rsidR="00DE0A80">
              <w:rPr>
                <w:lang w:val="en-GB"/>
              </w:rPr>
              <w:t>,</w:t>
            </w:r>
            <w:r>
              <w:rPr>
                <w:lang w:val="en-GB"/>
              </w:rPr>
              <w:t>000</w:t>
            </w:r>
            <w:r w:rsidR="00DE0A80">
              <w:rPr>
                <w:lang w:val="en-GB"/>
              </w:rPr>
              <w:t>.</w:t>
            </w:r>
            <w:r>
              <w:rPr>
                <w:lang w:val="en-GB"/>
              </w:rPr>
              <w:t>00</w:t>
            </w:r>
          </w:p>
        </w:tc>
      </w:tr>
      <w:tr w:rsidR="00C92E14" w:rsidRPr="00937662" w14:paraId="284F5AEE" w14:textId="77777777" w:rsidTr="00577F36">
        <w:trPr>
          <w:jc w:val="center"/>
        </w:trPr>
        <w:tc>
          <w:tcPr>
            <w:tcW w:w="1824" w:type="dxa"/>
            <w:vMerge/>
            <w:shd w:val="clear" w:color="auto" w:fill="9CC2E5" w:themeFill="accent1" w:themeFillTint="99"/>
          </w:tcPr>
          <w:p w14:paraId="7BAF9833" w14:textId="77777777" w:rsidR="00C92E14" w:rsidRPr="00937662" w:rsidRDefault="00C92E14" w:rsidP="00C92E14">
            <w:pPr>
              <w:rPr>
                <w:lang w:val="en-GB"/>
              </w:rPr>
            </w:pPr>
          </w:p>
        </w:tc>
        <w:tc>
          <w:tcPr>
            <w:tcW w:w="592" w:type="dxa"/>
            <w:vMerge/>
            <w:shd w:val="clear" w:color="auto" w:fill="auto"/>
          </w:tcPr>
          <w:p w14:paraId="1A6ECA00" w14:textId="77777777" w:rsidR="00C92E14" w:rsidRPr="00937662" w:rsidRDefault="00C92E14" w:rsidP="00C92E14">
            <w:pPr>
              <w:rPr>
                <w:lang w:val="en-GB"/>
              </w:rPr>
            </w:pPr>
          </w:p>
        </w:tc>
        <w:tc>
          <w:tcPr>
            <w:tcW w:w="1968" w:type="dxa"/>
            <w:shd w:val="clear" w:color="auto" w:fill="auto"/>
          </w:tcPr>
          <w:p w14:paraId="27482403" w14:textId="77777777" w:rsidR="00C92E14" w:rsidRPr="00937662" w:rsidRDefault="00C92E14" w:rsidP="00C92E14">
            <w:r w:rsidRPr="00937662">
              <w:t xml:space="preserve">Hartimi i ndryshimeve </w:t>
            </w:r>
          </w:p>
        </w:tc>
        <w:tc>
          <w:tcPr>
            <w:tcW w:w="856" w:type="dxa"/>
            <w:shd w:val="clear" w:color="auto" w:fill="auto"/>
          </w:tcPr>
          <w:p w14:paraId="159A61E8" w14:textId="5CE17F27" w:rsidR="00C92E14" w:rsidRPr="00937662" w:rsidRDefault="007F6BD2" w:rsidP="00C92E14">
            <w:r>
              <w:t>X</w:t>
            </w:r>
          </w:p>
        </w:tc>
        <w:tc>
          <w:tcPr>
            <w:tcW w:w="851" w:type="dxa"/>
            <w:shd w:val="clear" w:color="auto" w:fill="auto"/>
          </w:tcPr>
          <w:p w14:paraId="5EAABA73" w14:textId="1C359950" w:rsidR="00C92E14" w:rsidRPr="00937662" w:rsidRDefault="007F6BD2" w:rsidP="00C92E14">
            <w:pPr>
              <w:rPr>
                <w:lang w:val="en-GB"/>
              </w:rPr>
            </w:pPr>
            <w:r>
              <w:rPr>
                <w:lang w:val="en-GB"/>
              </w:rPr>
              <w:t>X</w:t>
            </w:r>
          </w:p>
        </w:tc>
        <w:tc>
          <w:tcPr>
            <w:tcW w:w="850" w:type="dxa"/>
            <w:shd w:val="clear" w:color="auto" w:fill="auto"/>
          </w:tcPr>
          <w:p w14:paraId="56BFBE52" w14:textId="4F4F050F" w:rsidR="00C92E14" w:rsidRPr="00937662" w:rsidRDefault="007F6BD2" w:rsidP="00C92E14">
            <w:pPr>
              <w:rPr>
                <w:lang w:val="en-GB"/>
              </w:rPr>
            </w:pPr>
            <w:r>
              <w:rPr>
                <w:lang w:val="en-GB"/>
              </w:rPr>
              <w:t>X</w:t>
            </w:r>
          </w:p>
        </w:tc>
        <w:tc>
          <w:tcPr>
            <w:tcW w:w="794" w:type="dxa"/>
            <w:shd w:val="clear" w:color="auto" w:fill="auto"/>
          </w:tcPr>
          <w:p w14:paraId="14F522E3" w14:textId="77777777" w:rsidR="00C92E14" w:rsidRPr="00937662" w:rsidRDefault="00C92E14" w:rsidP="00C92E14">
            <w:pPr>
              <w:rPr>
                <w:lang w:val="en-GB"/>
              </w:rPr>
            </w:pPr>
          </w:p>
        </w:tc>
        <w:tc>
          <w:tcPr>
            <w:tcW w:w="810" w:type="dxa"/>
            <w:shd w:val="clear" w:color="auto" w:fill="auto"/>
          </w:tcPr>
          <w:p w14:paraId="1B4822CD" w14:textId="77777777" w:rsidR="00C92E14" w:rsidRPr="00937662" w:rsidRDefault="00C92E14" w:rsidP="00C92E14">
            <w:pPr>
              <w:rPr>
                <w:lang w:val="en-GB"/>
              </w:rPr>
            </w:pPr>
          </w:p>
        </w:tc>
        <w:tc>
          <w:tcPr>
            <w:tcW w:w="1085" w:type="dxa"/>
            <w:shd w:val="clear" w:color="auto" w:fill="auto"/>
          </w:tcPr>
          <w:p w14:paraId="396BDF20" w14:textId="69793CC4" w:rsidR="00C92E14" w:rsidRPr="00937662" w:rsidRDefault="00C92E14" w:rsidP="00374A9B">
            <w:r w:rsidRPr="00937662">
              <w:t>M</w:t>
            </w:r>
            <w:r w:rsidR="00374A9B" w:rsidRPr="00937662">
              <w:t>INT</w:t>
            </w:r>
          </w:p>
        </w:tc>
        <w:tc>
          <w:tcPr>
            <w:tcW w:w="1345" w:type="dxa"/>
            <w:shd w:val="clear" w:color="auto" w:fill="auto"/>
          </w:tcPr>
          <w:p w14:paraId="7A5BA17E" w14:textId="19A53DB6" w:rsidR="00C92E14" w:rsidRPr="00937662" w:rsidRDefault="007F6BD2" w:rsidP="007F6BD2">
            <w:pPr>
              <w:rPr>
                <w:lang w:val="en-GB"/>
              </w:rPr>
            </w:pPr>
            <w:r>
              <w:rPr>
                <w:lang w:val="en-GB"/>
              </w:rPr>
              <w:t>1</w:t>
            </w:r>
            <w:r w:rsidR="008A61C7">
              <w:rPr>
                <w:lang w:val="en-GB"/>
              </w:rPr>
              <w:t>,</w:t>
            </w:r>
            <w:r>
              <w:rPr>
                <w:lang w:val="en-GB"/>
              </w:rPr>
              <w:t>500</w:t>
            </w:r>
            <w:r w:rsidR="008A61C7">
              <w:rPr>
                <w:lang w:val="en-GB"/>
              </w:rPr>
              <w:t>.</w:t>
            </w:r>
            <w:r>
              <w:rPr>
                <w:lang w:val="en-GB"/>
              </w:rPr>
              <w:t>00</w:t>
            </w:r>
          </w:p>
        </w:tc>
      </w:tr>
      <w:tr w:rsidR="00C92E14" w:rsidRPr="00937662" w14:paraId="7AA77DA2" w14:textId="77777777" w:rsidTr="00577F36">
        <w:trPr>
          <w:jc w:val="center"/>
        </w:trPr>
        <w:tc>
          <w:tcPr>
            <w:tcW w:w="1824" w:type="dxa"/>
            <w:vMerge/>
            <w:shd w:val="clear" w:color="auto" w:fill="9CC2E5" w:themeFill="accent1" w:themeFillTint="99"/>
          </w:tcPr>
          <w:p w14:paraId="0760358E" w14:textId="77777777" w:rsidR="00C92E14" w:rsidRPr="00937662" w:rsidRDefault="00C92E14" w:rsidP="00C92E14">
            <w:pPr>
              <w:rPr>
                <w:lang w:val="en-GB"/>
              </w:rPr>
            </w:pPr>
          </w:p>
        </w:tc>
        <w:tc>
          <w:tcPr>
            <w:tcW w:w="592" w:type="dxa"/>
            <w:vMerge/>
            <w:shd w:val="clear" w:color="auto" w:fill="auto"/>
          </w:tcPr>
          <w:p w14:paraId="10F33AF1" w14:textId="77777777" w:rsidR="00C92E14" w:rsidRPr="00937662" w:rsidRDefault="00C92E14" w:rsidP="00C92E14">
            <w:pPr>
              <w:rPr>
                <w:lang w:val="en-GB"/>
              </w:rPr>
            </w:pPr>
          </w:p>
        </w:tc>
        <w:tc>
          <w:tcPr>
            <w:tcW w:w="1968" w:type="dxa"/>
            <w:shd w:val="clear" w:color="auto" w:fill="auto"/>
          </w:tcPr>
          <w:p w14:paraId="5E28E56C" w14:textId="28AA71CF" w:rsidR="00C92E14" w:rsidRPr="00937662" w:rsidRDefault="008A61C7" w:rsidP="00C92E14">
            <w:r>
              <w:t>Konsultimet me palët e interesit</w:t>
            </w:r>
          </w:p>
        </w:tc>
        <w:tc>
          <w:tcPr>
            <w:tcW w:w="856" w:type="dxa"/>
            <w:shd w:val="clear" w:color="auto" w:fill="auto"/>
          </w:tcPr>
          <w:p w14:paraId="61F65113" w14:textId="0D41AD37" w:rsidR="00C92E14" w:rsidRPr="00937662" w:rsidRDefault="007F6BD2" w:rsidP="00C92E14">
            <w:r>
              <w:t>X</w:t>
            </w:r>
          </w:p>
        </w:tc>
        <w:tc>
          <w:tcPr>
            <w:tcW w:w="851" w:type="dxa"/>
            <w:shd w:val="clear" w:color="auto" w:fill="auto"/>
          </w:tcPr>
          <w:p w14:paraId="419134DF" w14:textId="459EB766" w:rsidR="00C92E14" w:rsidRPr="00937662" w:rsidRDefault="007F6BD2" w:rsidP="00C92E14">
            <w:pPr>
              <w:rPr>
                <w:lang w:val="en-GB"/>
              </w:rPr>
            </w:pPr>
            <w:r>
              <w:rPr>
                <w:lang w:val="en-GB"/>
              </w:rPr>
              <w:t>X</w:t>
            </w:r>
          </w:p>
        </w:tc>
        <w:tc>
          <w:tcPr>
            <w:tcW w:w="850" w:type="dxa"/>
            <w:shd w:val="clear" w:color="auto" w:fill="auto"/>
          </w:tcPr>
          <w:p w14:paraId="7AA62939" w14:textId="1A7B9EB8" w:rsidR="00C92E14" w:rsidRPr="00937662" w:rsidRDefault="007F6BD2" w:rsidP="00C92E14">
            <w:pPr>
              <w:rPr>
                <w:lang w:val="en-GB"/>
              </w:rPr>
            </w:pPr>
            <w:r>
              <w:rPr>
                <w:lang w:val="en-GB"/>
              </w:rPr>
              <w:t>X</w:t>
            </w:r>
          </w:p>
        </w:tc>
        <w:tc>
          <w:tcPr>
            <w:tcW w:w="794" w:type="dxa"/>
            <w:shd w:val="clear" w:color="auto" w:fill="auto"/>
          </w:tcPr>
          <w:p w14:paraId="53886438" w14:textId="77777777" w:rsidR="00C92E14" w:rsidRPr="00937662" w:rsidRDefault="00C92E14" w:rsidP="00C92E14">
            <w:pPr>
              <w:rPr>
                <w:lang w:val="en-GB"/>
              </w:rPr>
            </w:pPr>
          </w:p>
        </w:tc>
        <w:tc>
          <w:tcPr>
            <w:tcW w:w="810" w:type="dxa"/>
            <w:shd w:val="clear" w:color="auto" w:fill="auto"/>
          </w:tcPr>
          <w:p w14:paraId="3279A391" w14:textId="77777777" w:rsidR="00C92E14" w:rsidRPr="00937662" w:rsidRDefault="00C92E14" w:rsidP="00C92E14">
            <w:pPr>
              <w:rPr>
                <w:lang w:val="en-GB"/>
              </w:rPr>
            </w:pPr>
          </w:p>
        </w:tc>
        <w:tc>
          <w:tcPr>
            <w:tcW w:w="1085" w:type="dxa"/>
            <w:shd w:val="clear" w:color="auto" w:fill="auto"/>
          </w:tcPr>
          <w:p w14:paraId="7F84C8BD" w14:textId="358C2262" w:rsidR="00C92E14" w:rsidRPr="00937662" w:rsidRDefault="00374A9B" w:rsidP="00C92E14">
            <w:r w:rsidRPr="00937662">
              <w:t>MINT</w:t>
            </w:r>
          </w:p>
        </w:tc>
        <w:tc>
          <w:tcPr>
            <w:tcW w:w="1345" w:type="dxa"/>
            <w:shd w:val="clear" w:color="auto" w:fill="auto"/>
          </w:tcPr>
          <w:p w14:paraId="2415FD69" w14:textId="6211AB6C" w:rsidR="00C92E14" w:rsidRPr="00937662" w:rsidRDefault="007F6BD2" w:rsidP="00C92E14">
            <w:pPr>
              <w:rPr>
                <w:lang w:val="en-GB"/>
              </w:rPr>
            </w:pPr>
            <w:r>
              <w:rPr>
                <w:lang w:val="en-GB"/>
              </w:rPr>
              <w:t>750.00</w:t>
            </w:r>
          </w:p>
        </w:tc>
      </w:tr>
      <w:tr w:rsidR="00C92E14" w:rsidRPr="00937662" w14:paraId="5BD0EA0F" w14:textId="77777777" w:rsidTr="00577F36">
        <w:trPr>
          <w:jc w:val="center"/>
        </w:trPr>
        <w:tc>
          <w:tcPr>
            <w:tcW w:w="1824" w:type="dxa"/>
            <w:vMerge/>
            <w:shd w:val="clear" w:color="auto" w:fill="9CC2E5" w:themeFill="accent1" w:themeFillTint="99"/>
          </w:tcPr>
          <w:p w14:paraId="068B9D8D" w14:textId="77777777" w:rsidR="00C92E14" w:rsidRPr="00937662" w:rsidRDefault="00C92E14" w:rsidP="00C92E14">
            <w:pPr>
              <w:rPr>
                <w:lang w:val="en-GB"/>
              </w:rPr>
            </w:pPr>
          </w:p>
        </w:tc>
        <w:tc>
          <w:tcPr>
            <w:tcW w:w="592" w:type="dxa"/>
            <w:vMerge/>
            <w:shd w:val="clear" w:color="auto" w:fill="auto"/>
          </w:tcPr>
          <w:p w14:paraId="3527DAB4" w14:textId="77777777" w:rsidR="00C92E14" w:rsidRPr="00937662" w:rsidRDefault="00C92E14" w:rsidP="00C92E14">
            <w:pPr>
              <w:rPr>
                <w:lang w:val="en-GB"/>
              </w:rPr>
            </w:pPr>
          </w:p>
        </w:tc>
        <w:tc>
          <w:tcPr>
            <w:tcW w:w="1968" w:type="dxa"/>
            <w:shd w:val="clear" w:color="auto" w:fill="auto"/>
          </w:tcPr>
          <w:p w14:paraId="54FDF2DF" w14:textId="77777777" w:rsidR="00C92E14" w:rsidRPr="00937662" w:rsidRDefault="00C92E14" w:rsidP="00C92E14">
            <w:r w:rsidRPr="00937662">
              <w:t xml:space="preserve">Konsultimet ndërministrore </w:t>
            </w:r>
          </w:p>
        </w:tc>
        <w:tc>
          <w:tcPr>
            <w:tcW w:w="856" w:type="dxa"/>
            <w:shd w:val="clear" w:color="auto" w:fill="auto"/>
          </w:tcPr>
          <w:p w14:paraId="2D5B39CB" w14:textId="12B563C9" w:rsidR="00C92E14" w:rsidRPr="00937662" w:rsidRDefault="007F6BD2" w:rsidP="00C92E14">
            <w:r>
              <w:t>X</w:t>
            </w:r>
          </w:p>
        </w:tc>
        <w:tc>
          <w:tcPr>
            <w:tcW w:w="851" w:type="dxa"/>
            <w:shd w:val="clear" w:color="auto" w:fill="auto"/>
          </w:tcPr>
          <w:p w14:paraId="1FC4DFFD" w14:textId="2DE54BD8" w:rsidR="00C92E14" w:rsidRPr="00937662" w:rsidRDefault="00C92E14" w:rsidP="00C92E14">
            <w:pPr>
              <w:rPr>
                <w:lang w:val="en-GB"/>
              </w:rPr>
            </w:pPr>
          </w:p>
        </w:tc>
        <w:tc>
          <w:tcPr>
            <w:tcW w:w="850" w:type="dxa"/>
            <w:shd w:val="clear" w:color="auto" w:fill="auto"/>
          </w:tcPr>
          <w:p w14:paraId="5ED1AC13" w14:textId="21D97189" w:rsidR="00C92E14" w:rsidRPr="00937662" w:rsidRDefault="00C92E14" w:rsidP="00C92E14">
            <w:pPr>
              <w:rPr>
                <w:lang w:val="en-GB"/>
              </w:rPr>
            </w:pPr>
          </w:p>
        </w:tc>
        <w:tc>
          <w:tcPr>
            <w:tcW w:w="794" w:type="dxa"/>
            <w:shd w:val="clear" w:color="auto" w:fill="auto"/>
          </w:tcPr>
          <w:p w14:paraId="2CC33377" w14:textId="77777777" w:rsidR="00C92E14" w:rsidRPr="00937662" w:rsidRDefault="00C92E14" w:rsidP="00C92E14">
            <w:pPr>
              <w:rPr>
                <w:lang w:val="en-GB"/>
              </w:rPr>
            </w:pPr>
          </w:p>
        </w:tc>
        <w:tc>
          <w:tcPr>
            <w:tcW w:w="810" w:type="dxa"/>
            <w:shd w:val="clear" w:color="auto" w:fill="auto"/>
          </w:tcPr>
          <w:p w14:paraId="579A188C" w14:textId="77777777" w:rsidR="00C92E14" w:rsidRPr="00937662" w:rsidRDefault="00C92E14" w:rsidP="00C92E14">
            <w:pPr>
              <w:rPr>
                <w:lang w:val="en-GB"/>
              </w:rPr>
            </w:pPr>
          </w:p>
        </w:tc>
        <w:tc>
          <w:tcPr>
            <w:tcW w:w="1085" w:type="dxa"/>
            <w:shd w:val="clear" w:color="auto" w:fill="auto"/>
          </w:tcPr>
          <w:p w14:paraId="4DAC952A" w14:textId="67F9FEB4" w:rsidR="00C92E14" w:rsidRPr="00937662" w:rsidRDefault="00374A9B" w:rsidP="00C92E14">
            <w:r w:rsidRPr="00937662">
              <w:t>MINT</w:t>
            </w:r>
          </w:p>
        </w:tc>
        <w:tc>
          <w:tcPr>
            <w:tcW w:w="1345" w:type="dxa"/>
            <w:shd w:val="clear" w:color="auto" w:fill="auto"/>
          </w:tcPr>
          <w:p w14:paraId="70E35215" w14:textId="27FF984B" w:rsidR="00C92E14" w:rsidRPr="00937662" w:rsidRDefault="007F6BD2" w:rsidP="00C92E14">
            <w:pPr>
              <w:rPr>
                <w:lang w:val="en-GB"/>
              </w:rPr>
            </w:pPr>
            <w:r>
              <w:rPr>
                <w:lang w:val="en-GB"/>
              </w:rPr>
              <w:t>250.00</w:t>
            </w:r>
          </w:p>
        </w:tc>
      </w:tr>
      <w:tr w:rsidR="00C92E14" w:rsidRPr="00937662" w14:paraId="6815A42F" w14:textId="77777777" w:rsidTr="00577F36">
        <w:trPr>
          <w:jc w:val="center"/>
        </w:trPr>
        <w:tc>
          <w:tcPr>
            <w:tcW w:w="1824" w:type="dxa"/>
            <w:vMerge/>
            <w:shd w:val="clear" w:color="auto" w:fill="9CC2E5" w:themeFill="accent1" w:themeFillTint="99"/>
          </w:tcPr>
          <w:p w14:paraId="78B03A28" w14:textId="77777777" w:rsidR="00C92E14" w:rsidRPr="00937662" w:rsidRDefault="00C92E14" w:rsidP="00C92E14">
            <w:pPr>
              <w:rPr>
                <w:lang w:val="en-GB"/>
              </w:rPr>
            </w:pPr>
          </w:p>
        </w:tc>
        <w:tc>
          <w:tcPr>
            <w:tcW w:w="592" w:type="dxa"/>
            <w:vMerge/>
            <w:shd w:val="clear" w:color="auto" w:fill="auto"/>
          </w:tcPr>
          <w:p w14:paraId="1BB40246" w14:textId="77777777" w:rsidR="00C92E14" w:rsidRPr="00937662" w:rsidRDefault="00C92E14" w:rsidP="00C92E14">
            <w:pPr>
              <w:rPr>
                <w:lang w:val="en-GB"/>
              </w:rPr>
            </w:pPr>
          </w:p>
        </w:tc>
        <w:tc>
          <w:tcPr>
            <w:tcW w:w="1968" w:type="dxa"/>
            <w:shd w:val="clear" w:color="auto" w:fill="auto"/>
          </w:tcPr>
          <w:p w14:paraId="63C80714" w14:textId="77777777" w:rsidR="00C92E14" w:rsidRPr="00937662" w:rsidRDefault="00C92E14" w:rsidP="00C92E14">
            <w:r w:rsidRPr="00937662">
              <w:t xml:space="preserve">Konsultimi publik përmes platformës përkatëse </w:t>
            </w:r>
            <w:proofErr w:type="spellStart"/>
            <w:r w:rsidRPr="00937662">
              <w:t>online</w:t>
            </w:r>
            <w:proofErr w:type="spellEnd"/>
          </w:p>
        </w:tc>
        <w:tc>
          <w:tcPr>
            <w:tcW w:w="856" w:type="dxa"/>
            <w:shd w:val="clear" w:color="auto" w:fill="auto"/>
          </w:tcPr>
          <w:p w14:paraId="0BC46754" w14:textId="7B48A16B" w:rsidR="00C92E14" w:rsidRPr="00937662" w:rsidRDefault="007F6BD2" w:rsidP="00C92E14">
            <w:r>
              <w:t>X</w:t>
            </w:r>
          </w:p>
        </w:tc>
        <w:tc>
          <w:tcPr>
            <w:tcW w:w="851" w:type="dxa"/>
            <w:shd w:val="clear" w:color="auto" w:fill="auto"/>
          </w:tcPr>
          <w:p w14:paraId="08BCCBEC" w14:textId="04C8D7A2" w:rsidR="00C92E14" w:rsidRPr="00937662" w:rsidRDefault="00C92E14" w:rsidP="00C92E14">
            <w:pPr>
              <w:rPr>
                <w:lang w:val="en-GB"/>
              </w:rPr>
            </w:pPr>
          </w:p>
        </w:tc>
        <w:tc>
          <w:tcPr>
            <w:tcW w:w="850" w:type="dxa"/>
            <w:shd w:val="clear" w:color="auto" w:fill="auto"/>
          </w:tcPr>
          <w:p w14:paraId="4DE7DE5F" w14:textId="0E0ED854" w:rsidR="00C92E14" w:rsidRPr="00937662" w:rsidRDefault="00C92E14" w:rsidP="00C92E14">
            <w:pPr>
              <w:rPr>
                <w:lang w:val="en-GB"/>
              </w:rPr>
            </w:pPr>
          </w:p>
        </w:tc>
        <w:tc>
          <w:tcPr>
            <w:tcW w:w="794" w:type="dxa"/>
            <w:shd w:val="clear" w:color="auto" w:fill="auto"/>
          </w:tcPr>
          <w:p w14:paraId="534AC0D8" w14:textId="77777777" w:rsidR="00C92E14" w:rsidRPr="00937662" w:rsidRDefault="00C92E14" w:rsidP="00C92E14">
            <w:pPr>
              <w:rPr>
                <w:lang w:val="en-GB"/>
              </w:rPr>
            </w:pPr>
          </w:p>
        </w:tc>
        <w:tc>
          <w:tcPr>
            <w:tcW w:w="810" w:type="dxa"/>
            <w:shd w:val="clear" w:color="auto" w:fill="auto"/>
          </w:tcPr>
          <w:p w14:paraId="75D5129B" w14:textId="77777777" w:rsidR="00C92E14" w:rsidRPr="00937662" w:rsidRDefault="00C92E14" w:rsidP="00C92E14">
            <w:pPr>
              <w:rPr>
                <w:lang w:val="en-GB"/>
              </w:rPr>
            </w:pPr>
          </w:p>
        </w:tc>
        <w:tc>
          <w:tcPr>
            <w:tcW w:w="1085" w:type="dxa"/>
            <w:shd w:val="clear" w:color="auto" w:fill="auto"/>
          </w:tcPr>
          <w:p w14:paraId="0A37B2FB" w14:textId="1C3709DC" w:rsidR="00C92E14" w:rsidRPr="00937662" w:rsidRDefault="00374A9B" w:rsidP="00C92E14">
            <w:r w:rsidRPr="00937662">
              <w:t>MINT</w:t>
            </w:r>
          </w:p>
        </w:tc>
        <w:tc>
          <w:tcPr>
            <w:tcW w:w="1345" w:type="dxa"/>
            <w:shd w:val="clear" w:color="auto" w:fill="auto"/>
          </w:tcPr>
          <w:p w14:paraId="15DA059A" w14:textId="42E2A591" w:rsidR="00C92E14" w:rsidRPr="00937662" w:rsidRDefault="007F6BD2" w:rsidP="00C92E14">
            <w:pPr>
              <w:rPr>
                <w:lang w:val="en-GB"/>
              </w:rPr>
            </w:pPr>
            <w:r>
              <w:rPr>
                <w:lang w:val="en-GB"/>
              </w:rPr>
              <w:t>250.00</w:t>
            </w:r>
          </w:p>
        </w:tc>
      </w:tr>
      <w:tr w:rsidR="00C92E14" w:rsidRPr="00937662" w14:paraId="42C3C1F9" w14:textId="77777777" w:rsidTr="00577F36">
        <w:trPr>
          <w:jc w:val="center"/>
        </w:trPr>
        <w:tc>
          <w:tcPr>
            <w:tcW w:w="1824" w:type="dxa"/>
            <w:vMerge/>
            <w:shd w:val="clear" w:color="auto" w:fill="9CC2E5" w:themeFill="accent1" w:themeFillTint="99"/>
          </w:tcPr>
          <w:p w14:paraId="2148849B" w14:textId="77777777" w:rsidR="00C92E14" w:rsidRPr="00937662" w:rsidRDefault="00C92E14" w:rsidP="00C92E14">
            <w:pPr>
              <w:rPr>
                <w:lang w:val="en-GB"/>
              </w:rPr>
            </w:pPr>
          </w:p>
        </w:tc>
        <w:tc>
          <w:tcPr>
            <w:tcW w:w="592" w:type="dxa"/>
            <w:vMerge/>
            <w:shd w:val="clear" w:color="auto" w:fill="auto"/>
          </w:tcPr>
          <w:p w14:paraId="7613E680" w14:textId="77777777" w:rsidR="00C92E14" w:rsidRPr="00937662" w:rsidRDefault="00C92E14" w:rsidP="00C92E14">
            <w:pPr>
              <w:rPr>
                <w:lang w:val="en-GB"/>
              </w:rPr>
            </w:pPr>
          </w:p>
        </w:tc>
        <w:tc>
          <w:tcPr>
            <w:tcW w:w="1968" w:type="dxa"/>
            <w:shd w:val="clear" w:color="auto" w:fill="auto"/>
          </w:tcPr>
          <w:p w14:paraId="747EC58A" w14:textId="77777777" w:rsidR="00C92E14" w:rsidRPr="00937662" w:rsidRDefault="00C92E14" w:rsidP="00C92E14">
            <w:r w:rsidRPr="00937662">
              <w:t>Përgatitja e materialeve për miratim të qeverisë</w:t>
            </w:r>
          </w:p>
        </w:tc>
        <w:tc>
          <w:tcPr>
            <w:tcW w:w="856" w:type="dxa"/>
            <w:shd w:val="clear" w:color="auto" w:fill="auto"/>
          </w:tcPr>
          <w:p w14:paraId="3E6D47E1" w14:textId="23DA6230" w:rsidR="00C92E14" w:rsidRPr="00937662" w:rsidRDefault="007F6BD2" w:rsidP="00C92E14">
            <w:r>
              <w:t>X</w:t>
            </w:r>
          </w:p>
        </w:tc>
        <w:tc>
          <w:tcPr>
            <w:tcW w:w="851" w:type="dxa"/>
            <w:shd w:val="clear" w:color="auto" w:fill="auto"/>
          </w:tcPr>
          <w:p w14:paraId="016B4940" w14:textId="4A8E4E12" w:rsidR="00C92E14" w:rsidRPr="00937662" w:rsidRDefault="00C92E14" w:rsidP="00C92E14">
            <w:pPr>
              <w:rPr>
                <w:lang w:val="en-GB"/>
              </w:rPr>
            </w:pPr>
          </w:p>
        </w:tc>
        <w:tc>
          <w:tcPr>
            <w:tcW w:w="850" w:type="dxa"/>
            <w:shd w:val="clear" w:color="auto" w:fill="auto"/>
          </w:tcPr>
          <w:p w14:paraId="0BE5CCCF" w14:textId="033C1533" w:rsidR="00C92E14" w:rsidRPr="00937662" w:rsidRDefault="00C92E14" w:rsidP="00C92E14">
            <w:pPr>
              <w:rPr>
                <w:lang w:val="en-GB"/>
              </w:rPr>
            </w:pPr>
          </w:p>
        </w:tc>
        <w:tc>
          <w:tcPr>
            <w:tcW w:w="794" w:type="dxa"/>
            <w:shd w:val="clear" w:color="auto" w:fill="auto"/>
          </w:tcPr>
          <w:p w14:paraId="09EEC94A" w14:textId="77777777" w:rsidR="00C92E14" w:rsidRPr="00937662" w:rsidRDefault="00C92E14" w:rsidP="00C92E14">
            <w:pPr>
              <w:rPr>
                <w:lang w:val="en-GB"/>
              </w:rPr>
            </w:pPr>
          </w:p>
        </w:tc>
        <w:tc>
          <w:tcPr>
            <w:tcW w:w="810" w:type="dxa"/>
            <w:shd w:val="clear" w:color="auto" w:fill="auto"/>
          </w:tcPr>
          <w:p w14:paraId="28ACE1AE" w14:textId="77777777" w:rsidR="00C92E14" w:rsidRPr="00937662" w:rsidRDefault="00C92E14" w:rsidP="00C92E14">
            <w:pPr>
              <w:rPr>
                <w:lang w:val="en-GB"/>
              </w:rPr>
            </w:pPr>
          </w:p>
        </w:tc>
        <w:tc>
          <w:tcPr>
            <w:tcW w:w="1085" w:type="dxa"/>
            <w:shd w:val="clear" w:color="auto" w:fill="auto"/>
          </w:tcPr>
          <w:p w14:paraId="0B5A9E7A" w14:textId="455A2369" w:rsidR="00C92E14" w:rsidRPr="00937662" w:rsidRDefault="00374A9B" w:rsidP="00C92E14">
            <w:r w:rsidRPr="00937662">
              <w:t>MINT</w:t>
            </w:r>
          </w:p>
        </w:tc>
        <w:tc>
          <w:tcPr>
            <w:tcW w:w="1345" w:type="dxa"/>
            <w:shd w:val="clear" w:color="auto" w:fill="auto"/>
          </w:tcPr>
          <w:p w14:paraId="2E7E6A60" w14:textId="052C1D11" w:rsidR="00C92E14" w:rsidRPr="00937662" w:rsidRDefault="007F6BD2" w:rsidP="00C92E14">
            <w:pPr>
              <w:rPr>
                <w:lang w:val="en-GB"/>
              </w:rPr>
            </w:pPr>
            <w:r>
              <w:rPr>
                <w:lang w:val="en-GB"/>
              </w:rPr>
              <w:t>100.00</w:t>
            </w:r>
          </w:p>
        </w:tc>
      </w:tr>
      <w:tr w:rsidR="00C92E14" w:rsidRPr="00937662" w14:paraId="1F81A207" w14:textId="77777777" w:rsidTr="00577F36">
        <w:trPr>
          <w:jc w:val="center"/>
        </w:trPr>
        <w:tc>
          <w:tcPr>
            <w:tcW w:w="1824" w:type="dxa"/>
            <w:vMerge w:val="restart"/>
            <w:shd w:val="clear" w:color="auto" w:fill="9CC2E5" w:themeFill="accent1" w:themeFillTint="99"/>
          </w:tcPr>
          <w:p w14:paraId="1CBB0158" w14:textId="77777777" w:rsidR="00C92E14" w:rsidRPr="00937662" w:rsidRDefault="00C92E14" w:rsidP="00C92E14">
            <w:r w:rsidRPr="00937662">
              <w:t xml:space="preserve">Pikësynimi specifik 2: </w:t>
            </w:r>
          </w:p>
          <w:p w14:paraId="2C2C4008" w14:textId="77777777" w:rsidR="00C92E14" w:rsidRPr="00937662" w:rsidRDefault="00C92E14" w:rsidP="00C92E14">
            <w:pPr>
              <w:rPr>
                <w:lang w:val="en-GB"/>
              </w:rPr>
            </w:pPr>
          </w:p>
          <w:p w14:paraId="38A13B5D" w14:textId="77777777" w:rsidR="00C92E14" w:rsidRPr="00937662" w:rsidRDefault="00C92E14" w:rsidP="00C92E14">
            <w:pPr>
              <w:rPr>
                <w:lang w:val="en-GB"/>
              </w:rPr>
            </w:pPr>
          </w:p>
        </w:tc>
        <w:tc>
          <w:tcPr>
            <w:tcW w:w="592" w:type="dxa"/>
            <w:vMerge w:val="restart"/>
            <w:shd w:val="clear" w:color="auto" w:fill="auto"/>
          </w:tcPr>
          <w:p w14:paraId="1C6F2B11" w14:textId="77777777" w:rsidR="00C92E14" w:rsidRPr="00937662" w:rsidRDefault="00C92E14" w:rsidP="00C92E14">
            <w:pPr>
              <w:rPr>
                <w:lang w:val="en-GB"/>
              </w:rPr>
            </w:pPr>
          </w:p>
        </w:tc>
        <w:tc>
          <w:tcPr>
            <w:tcW w:w="7214" w:type="dxa"/>
            <w:gridSpan w:val="7"/>
            <w:shd w:val="clear" w:color="auto" w:fill="auto"/>
          </w:tcPr>
          <w:p w14:paraId="6FD3DB34" w14:textId="382C6C5D" w:rsidR="00C92E14" w:rsidRPr="00937662" w:rsidRDefault="00D55681" w:rsidP="00C92E14">
            <w:r>
              <w:t xml:space="preserve">Ngritja e vetëdijes për prodhuesit vendor lidhur me </w:t>
            </w:r>
            <w:proofErr w:type="spellStart"/>
            <w:r>
              <w:t>prakikat</w:t>
            </w:r>
            <w:proofErr w:type="spellEnd"/>
            <w:r>
              <w:t xml:space="preserve"> e padrejta tregtare me rastin e importit te produkteve</w:t>
            </w:r>
          </w:p>
        </w:tc>
        <w:tc>
          <w:tcPr>
            <w:tcW w:w="1345" w:type="dxa"/>
            <w:shd w:val="clear" w:color="auto" w:fill="auto"/>
          </w:tcPr>
          <w:p w14:paraId="2D8D444A" w14:textId="77777777" w:rsidR="00C92E14" w:rsidRPr="00937662" w:rsidRDefault="00C92E14" w:rsidP="00C92E14">
            <w:pPr>
              <w:rPr>
                <w:lang w:val="en-GB"/>
              </w:rPr>
            </w:pPr>
          </w:p>
        </w:tc>
      </w:tr>
      <w:tr w:rsidR="00C92E14" w:rsidRPr="00937662" w14:paraId="48403509" w14:textId="77777777" w:rsidTr="00577F36">
        <w:trPr>
          <w:jc w:val="center"/>
        </w:trPr>
        <w:tc>
          <w:tcPr>
            <w:tcW w:w="1824" w:type="dxa"/>
            <w:vMerge/>
            <w:shd w:val="clear" w:color="auto" w:fill="9CC2E5" w:themeFill="accent1" w:themeFillTint="99"/>
          </w:tcPr>
          <w:p w14:paraId="4B31A389" w14:textId="77777777" w:rsidR="00C92E14" w:rsidRPr="00937662" w:rsidRDefault="00C92E14" w:rsidP="00C92E14">
            <w:pPr>
              <w:rPr>
                <w:lang w:val="en-GB"/>
              </w:rPr>
            </w:pPr>
          </w:p>
        </w:tc>
        <w:tc>
          <w:tcPr>
            <w:tcW w:w="592" w:type="dxa"/>
            <w:vMerge/>
            <w:shd w:val="clear" w:color="auto" w:fill="auto"/>
          </w:tcPr>
          <w:p w14:paraId="4A5B9310" w14:textId="77777777" w:rsidR="00C92E14" w:rsidRPr="00937662" w:rsidRDefault="00C92E14" w:rsidP="00C92E14">
            <w:pPr>
              <w:rPr>
                <w:lang w:val="en-GB"/>
              </w:rPr>
            </w:pPr>
          </w:p>
        </w:tc>
        <w:tc>
          <w:tcPr>
            <w:tcW w:w="1968" w:type="dxa"/>
            <w:shd w:val="clear" w:color="auto" w:fill="auto"/>
          </w:tcPr>
          <w:p w14:paraId="3625B3EA" w14:textId="77777777" w:rsidR="00C92E14" w:rsidRPr="00937662" w:rsidRDefault="00C92E14" w:rsidP="00C92E14">
            <w:pPr>
              <w:rPr>
                <w:lang w:val="en-GB"/>
              </w:rPr>
            </w:pPr>
          </w:p>
        </w:tc>
        <w:tc>
          <w:tcPr>
            <w:tcW w:w="856" w:type="dxa"/>
            <w:tcBorders>
              <w:bottom w:val="single" w:sz="4" w:space="0" w:color="auto"/>
            </w:tcBorders>
            <w:shd w:val="clear" w:color="auto" w:fill="auto"/>
          </w:tcPr>
          <w:p w14:paraId="5F73EF73" w14:textId="77777777" w:rsidR="00C92E14" w:rsidRPr="00937662" w:rsidRDefault="00C92E14" w:rsidP="00C92E14">
            <w:r w:rsidRPr="00937662">
              <w:t>Viti 1</w:t>
            </w:r>
          </w:p>
        </w:tc>
        <w:tc>
          <w:tcPr>
            <w:tcW w:w="851" w:type="dxa"/>
            <w:tcBorders>
              <w:bottom w:val="single" w:sz="4" w:space="0" w:color="auto"/>
              <w:right w:val="single" w:sz="4" w:space="0" w:color="000000"/>
            </w:tcBorders>
            <w:shd w:val="clear" w:color="auto" w:fill="auto"/>
          </w:tcPr>
          <w:p w14:paraId="7DB5E7A4" w14:textId="77777777" w:rsidR="00C92E14" w:rsidRPr="00937662" w:rsidRDefault="00C92E14" w:rsidP="00C92E14">
            <w:r w:rsidRPr="00937662">
              <w:t>Viti 2</w:t>
            </w:r>
          </w:p>
        </w:tc>
        <w:tc>
          <w:tcPr>
            <w:tcW w:w="850" w:type="dxa"/>
            <w:tcBorders>
              <w:left w:val="single" w:sz="4" w:space="0" w:color="000000"/>
              <w:bottom w:val="single" w:sz="4" w:space="0" w:color="auto"/>
            </w:tcBorders>
            <w:shd w:val="clear" w:color="auto" w:fill="auto"/>
          </w:tcPr>
          <w:p w14:paraId="468468C0" w14:textId="77777777" w:rsidR="00C92E14" w:rsidRPr="00937662" w:rsidRDefault="00C92E14" w:rsidP="00C92E14">
            <w:r w:rsidRPr="00937662">
              <w:t>Viti 3</w:t>
            </w:r>
          </w:p>
        </w:tc>
        <w:tc>
          <w:tcPr>
            <w:tcW w:w="794" w:type="dxa"/>
            <w:tcBorders>
              <w:bottom w:val="single" w:sz="4" w:space="0" w:color="auto"/>
              <w:right w:val="single" w:sz="4" w:space="0" w:color="000000"/>
            </w:tcBorders>
            <w:shd w:val="clear" w:color="auto" w:fill="auto"/>
          </w:tcPr>
          <w:p w14:paraId="60B3766C" w14:textId="77777777" w:rsidR="00C92E14" w:rsidRPr="00937662" w:rsidRDefault="00C92E14" w:rsidP="00C92E14">
            <w:r w:rsidRPr="00937662">
              <w:t>Viti 4</w:t>
            </w:r>
          </w:p>
        </w:tc>
        <w:tc>
          <w:tcPr>
            <w:tcW w:w="810" w:type="dxa"/>
            <w:tcBorders>
              <w:left w:val="single" w:sz="4" w:space="0" w:color="000000"/>
              <w:bottom w:val="single" w:sz="4" w:space="0" w:color="auto"/>
            </w:tcBorders>
            <w:shd w:val="clear" w:color="auto" w:fill="auto"/>
          </w:tcPr>
          <w:p w14:paraId="5FD303EB" w14:textId="77777777" w:rsidR="00C92E14" w:rsidRPr="00937662" w:rsidRDefault="00C92E14" w:rsidP="00C92E14">
            <w:r w:rsidRPr="00937662">
              <w:t>Viti 5</w:t>
            </w:r>
          </w:p>
        </w:tc>
        <w:tc>
          <w:tcPr>
            <w:tcW w:w="1085" w:type="dxa"/>
            <w:shd w:val="clear" w:color="auto" w:fill="auto"/>
          </w:tcPr>
          <w:p w14:paraId="3D4A43C9" w14:textId="77777777" w:rsidR="00C92E14" w:rsidRPr="00937662" w:rsidRDefault="00C92E14" w:rsidP="00C92E14">
            <w:pPr>
              <w:rPr>
                <w:lang w:val="en-GB"/>
              </w:rPr>
            </w:pPr>
          </w:p>
        </w:tc>
        <w:tc>
          <w:tcPr>
            <w:tcW w:w="1345" w:type="dxa"/>
            <w:shd w:val="clear" w:color="auto" w:fill="auto"/>
          </w:tcPr>
          <w:p w14:paraId="651741B2" w14:textId="77777777" w:rsidR="00C92E14" w:rsidRPr="00937662" w:rsidRDefault="00C92E14" w:rsidP="00C92E14">
            <w:pPr>
              <w:rPr>
                <w:lang w:val="en-GB"/>
              </w:rPr>
            </w:pPr>
          </w:p>
        </w:tc>
      </w:tr>
      <w:tr w:rsidR="00C92E14" w:rsidRPr="00937662" w14:paraId="45A7F589" w14:textId="77777777" w:rsidTr="00D55681">
        <w:trPr>
          <w:trHeight w:val="2060"/>
          <w:jc w:val="center"/>
        </w:trPr>
        <w:tc>
          <w:tcPr>
            <w:tcW w:w="1824" w:type="dxa"/>
            <w:vMerge/>
            <w:shd w:val="clear" w:color="auto" w:fill="9CC2E5" w:themeFill="accent1" w:themeFillTint="99"/>
          </w:tcPr>
          <w:p w14:paraId="623F7F45" w14:textId="77777777" w:rsidR="00C92E14" w:rsidRPr="00937662" w:rsidRDefault="00C92E14" w:rsidP="00C92E14">
            <w:pPr>
              <w:rPr>
                <w:lang w:val="en-GB"/>
              </w:rPr>
            </w:pPr>
          </w:p>
        </w:tc>
        <w:tc>
          <w:tcPr>
            <w:tcW w:w="592" w:type="dxa"/>
            <w:vMerge/>
            <w:shd w:val="clear" w:color="auto" w:fill="auto"/>
          </w:tcPr>
          <w:p w14:paraId="39027493" w14:textId="77777777" w:rsidR="00C92E14" w:rsidRPr="00937662" w:rsidRDefault="00C92E14" w:rsidP="00C92E14">
            <w:pPr>
              <w:rPr>
                <w:lang w:val="en-GB"/>
              </w:rPr>
            </w:pPr>
          </w:p>
        </w:tc>
        <w:tc>
          <w:tcPr>
            <w:tcW w:w="1968" w:type="dxa"/>
            <w:shd w:val="clear" w:color="auto" w:fill="auto"/>
          </w:tcPr>
          <w:p w14:paraId="429F0E5C" w14:textId="4AD29963" w:rsidR="00C92E14" w:rsidRPr="00937662" w:rsidRDefault="00D55681" w:rsidP="00C92E14">
            <w:r>
              <w:t>Takimet me Komisionin për Vlerësimin e Detyrimeve të Veçanta në Importe</w:t>
            </w:r>
          </w:p>
        </w:tc>
        <w:tc>
          <w:tcPr>
            <w:tcW w:w="856" w:type="dxa"/>
            <w:tcBorders>
              <w:bottom w:val="nil"/>
              <w:right w:val="single" w:sz="4" w:space="0" w:color="000000"/>
            </w:tcBorders>
            <w:shd w:val="clear" w:color="auto" w:fill="auto"/>
          </w:tcPr>
          <w:p w14:paraId="15EBF3FD" w14:textId="48FDE576" w:rsidR="00C92E14" w:rsidRPr="00937662" w:rsidRDefault="007F6BD2" w:rsidP="00C92E14">
            <w:pPr>
              <w:rPr>
                <w:lang w:val="en-GB"/>
              </w:rPr>
            </w:pPr>
            <w:r>
              <w:rPr>
                <w:lang w:val="en-GB"/>
              </w:rPr>
              <w:t>X</w:t>
            </w:r>
          </w:p>
          <w:p w14:paraId="17FBF612" w14:textId="77777777" w:rsidR="00C92E14" w:rsidRPr="00937662" w:rsidRDefault="00C92E14" w:rsidP="00C92E14">
            <w:pPr>
              <w:rPr>
                <w:lang w:val="en-GB"/>
              </w:rPr>
            </w:pPr>
          </w:p>
        </w:tc>
        <w:tc>
          <w:tcPr>
            <w:tcW w:w="851" w:type="dxa"/>
            <w:tcBorders>
              <w:left w:val="single" w:sz="4" w:space="0" w:color="000000"/>
              <w:bottom w:val="nil"/>
              <w:right w:val="single" w:sz="4" w:space="0" w:color="000000"/>
            </w:tcBorders>
            <w:shd w:val="clear" w:color="auto" w:fill="auto"/>
          </w:tcPr>
          <w:p w14:paraId="1FFE93CE" w14:textId="73A59813" w:rsidR="00C92E14" w:rsidRPr="00937662" w:rsidRDefault="007F6BD2" w:rsidP="00C92E14">
            <w:r>
              <w:t>X</w:t>
            </w:r>
          </w:p>
        </w:tc>
        <w:tc>
          <w:tcPr>
            <w:tcW w:w="850" w:type="dxa"/>
            <w:tcBorders>
              <w:top w:val="single" w:sz="4" w:space="0" w:color="000000"/>
              <w:left w:val="single" w:sz="4" w:space="0" w:color="000000"/>
              <w:bottom w:val="nil"/>
              <w:right w:val="single" w:sz="4" w:space="0" w:color="000000"/>
            </w:tcBorders>
            <w:shd w:val="clear" w:color="auto" w:fill="auto"/>
          </w:tcPr>
          <w:p w14:paraId="0478F964" w14:textId="4C5BBBE9" w:rsidR="00C92E14" w:rsidRPr="00937662" w:rsidRDefault="007F6BD2" w:rsidP="00C92E14">
            <w:pPr>
              <w:rPr>
                <w:lang w:val="en-GB"/>
              </w:rPr>
            </w:pPr>
            <w:r>
              <w:rPr>
                <w:lang w:val="en-GB"/>
              </w:rPr>
              <w:t>X</w:t>
            </w:r>
          </w:p>
          <w:p w14:paraId="3004239B" w14:textId="77777777" w:rsidR="00C92E14" w:rsidRPr="00937662" w:rsidRDefault="00C92E14" w:rsidP="00C92E14">
            <w:pPr>
              <w:rPr>
                <w:lang w:val="en-GB"/>
              </w:rPr>
            </w:pPr>
          </w:p>
        </w:tc>
        <w:tc>
          <w:tcPr>
            <w:tcW w:w="794" w:type="dxa"/>
            <w:tcBorders>
              <w:top w:val="single" w:sz="4" w:space="0" w:color="000000"/>
              <w:left w:val="single" w:sz="4" w:space="0" w:color="000000"/>
              <w:bottom w:val="nil"/>
              <w:right w:val="single" w:sz="4" w:space="0" w:color="000000"/>
            </w:tcBorders>
            <w:shd w:val="clear" w:color="auto" w:fill="auto"/>
          </w:tcPr>
          <w:p w14:paraId="29D6C694" w14:textId="77777777" w:rsidR="00C92E14" w:rsidRPr="00937662" w:rsidRDefault="00C92E14" w:rsidP="00C92E14">
            <w:pPr>
              <w:rPr>
                <w:lang w:val="en-GB"/>
              </w:rPr>
            </w:pPr>
          </w:p>
          <w:p w14:paraId="2F8CEA5E" w14:textId="77777777" w:rsidR="00C92E14" w:rsidRPr="00937662" w:rsidRDefault="00C92E14" w:rsidP="00C92E14">
            <w:pPr>
              <w:rPr>
                <w:lang w:val="en-GB"/>
              </w:rPr>
            </w:pPr>
          </w:p>
        </w:tc>
        <w:tc>
          <w:tcPr>
            <w:tcW w:w="810" w:type="dxa"/>
            <w:tcBorders>
              <w:top w:val="single" w:sz="4" w:space="0" w:color="000000"/>
              <w:left w:val="single" w:sz="4" w:space="0" w:color="000000"/>
              <w:bottom w:val="nil"/>
            </w:tcBorders>
            <w:shd w:val="clear" w:color="auto" w:fill="auto"/>
          </w:tcPr>
          <w:p w14:paraId="4C07E061" w14:textId="77777777" w:rsidR="00C92E14" w:rsidRPr="00937662" w:rsidRDefault="00C92E14" w:rsidP="00C92E14">
            <w:pPr>
              <w:rPr>
                <w:lang w:val="en-GB"/>
              </w:rPr>
            </w:pPr>
          </w:p>
          <w:p w14:paraId="6537C6F9" w14:textId="77777777" w:rsidR="00C92E14" w:rsidRPr="00937662" w:rsidRDefault="00C92E14" w:rsidP="00C92E14">
            <w:pPr>
              <w:rPr>
                <w:lang w:val="en-GB"/>
              </w:rPr>
            </w:pPr>
          </w:p>
        </w:tc>
        <w:tc>
          <w:tcPr>
            <w:tcW w:w="1085" w:type="dxa"/>
            <w:shd w:val="clear" w:color="auto" w:fill="auto"/>
          </w:tcPr>
          <w:p w14:paraId="27D92137" w14:textId="2765B866" w:rsidR="00C92E14" w:rsidRPr="00937662" w:rsidRDefault="00374A9B" w:rsidP="00C92E14">
            <w:r w:rsidRPr="00937662">
              <w:t>MINT</w:t>
            </w:r>
          </w:p>
        </w:tc>
        <w:tc>
          <w:tcPr>
            <w:tcW w:w="1345" w:type="dxa"/>
            <w:shd w:val="clear" w:color="auto" w:fill="auto"/>
          </w:tcPr>
          <w:p w14:paraId="4FDBFDE4" w14:textId="456CC0BD" w:rsidR="00C92E14" w:rsidRPr="00937662" w:rsidRDefault="007F6BD2" w:rsidP="00C92E14">
            <w:pPr>
              <w:rPr>
                <w:lang w:val="en-GB"/>
              </w:rPr>
            </w:pPr>
            <w:r>
              <w:rPr>
                <w:lang w:val="en-GB"/>
              </w:rPr>
              <w:t>11,180.00</w:t>
            </w:r>
          </w:p>
        </w:tc>
      </w:tr>
      <w:tr w:rsidR="00C92E14" w:rsidRPr="00937662" w14:paraId="024FC862" w14:textId="77777777" w:rsidTr="00577F36">
        <w:trPr>
          <w:jc w:val="center"/>
        </w:trPr>
        <w:tc>
          <w:tcPr>
            <w:tcW w:w="1824" w:type="dxa"/>
            <w:vMerge/>
            <w:shd w:val="clear" w:color="auto" w:fill="9CC2E5" w:themeFill="accent1" w:themeFillTint="99"/>
          </w:tcPr>
          <w:p w14:paraId="57835D36" w14:textId="77777777" w:rsidR="00C92E14" w:rsidRPr="00937662" w:rsidRDefault="00C92E14" w:rsidP="00C92E14">
            <w:pPr>
              <w:rPr>
                <w:lang w:val="en-GB"/>
              </w:rPr>
            </w:pPr>
          </w:p>
        </w:tc>
        <w:tc>
          <w:tcPr>
            <w:tcW w:w="592" w:type="dxa"/>
            <w:vMerge/>
            <w:shd w:val="clear" w:color="auto" w:fill="auto"/>
          </w:tcPr>
          <w:p w14:paraId="659BD5A7" w14:textId="77777777" w:rsidR="00C92E14" w:rsidRPr="00937662" w:rsidRDefault="00C92E14" w:rsidP="00C92E14">
            <w:pPr>
              <w:rPr>
                <w:lang w:val="en-GB"/>
              </w:rPr>
            </w:pPr>
          </w:p>
        </w:tc>
        <w:tc>
          <w:tcPr>
            <w:tcW w:w="1968" w:type="dxa"/>
            <w:shd w:val="clear" w:color="auto" w:fill="auto"/>
          </w:tcPr>
          <w:p w14:paraId="26605D3B" w14:textId="4250CB61" w:rsidR="00C92E14" w:rsidRPr="00937662" w:rsidRDefault="00D55681" w:rsidP="00C92E14">
            <w:r>
              <w:t>Takimet me Komisionin për Vlerësimin e Masave në Importe</w:t>
            </w:r>
          </w:p>
        </w:tc>
        <w:tc>
          <w:tcPr>
            <w:tcW w:w="856" w:type="dxa"/>
            <w:tcBorders>
              <w:right w:val="single" w:sz="4" w:space="0" w:color="000000"/>
            </w:tcBorders>
            <w:shd w:val="clear" w:color="auto" w:fill="auto"/>
          </w:tcPr>
          <w:p w14:paraId="59E57A0C" w14:textId="5CB9B307" w:rsidR="00C92E14" w:rsidRPr="00937662" w:rsidRDefault="007F6BD2" w:rsidP="00C92E14">
            <w:pPr>
              <w:rPr>
                <w:lang w:val="en-GB"/>
              </w:rPr>
            </w:pPr>
            <w:r>
              <w:rPr>
                <w:lang w:val="en-GB"/>
              </w:rPr>
              <w:t>X</w:t>
            </w:r>
          </w:p>
        </w:tc>
        <w:tc>
          <w:tcPr>
            <w:tcW w:w="851" w:type="dxa"/>
            <w:tcBorders>
              <w:left w:val="single" w:sz="4" w:space="0" w:color="000000"/>
              <w:right w:val="single" w:sz="4" w:space="0" w:color="000000"/>
            </w:tcBorders>
            <w:shd w:val="clear" w:color="auto" w:fill="auto"/>
          </w:tcPr>
          <w:p w14:paraId="5388017D" w14:textId="7DE8037B" w:rsidR="00C92E14" w:rsidRPr="00937662" w:rsidRDefault="007F6BD2" w:rsidP="00C92E14">
            <w:r>
              <w:t>X</w:t>
            </w:r>
          </w:p>
        </w:tc>
        <w:tc>
          <w:tcPr>
            <w:tcW w:w="850" w:type="dxa"/>
            <w:tcBorders>
              <w:left w:val="single" w:sz="4" w:space="0" w:color="000000"/>
              <w:right w:val="single" w:sz="4" w:space="0" w:color="000000"/>
            </w:tcBorders>
            <w:shd w:val="clear" w:color="auto" w:fill="auto"/>
          </w:tcPr>
          <w:p w14:paraId="23ADFE2A" w14:textId="6CA314E3" w:rsidR="00C92E14" w:rsidRPr="00937662" w:rsidRDefault="007F6BD2" w:rsidP="00C92E14">
            <w:pPr>
              <w:rPr>
                <w:lang w:val="en-GB"/>
              </w:rPr>
            </w:pPr>
            <w:r>
              <w:rPr>
                <w:lang w:val="en-GB"/>
              </w:rPr>
              <w:t>X</w:t>
            </w:r>
          </w:p>
        </w:tc>
        <w:tc>
          <w:tcPr>
            <w:tcW w:w="794" w:type="dxa"/>
            <w:tcBorders>
              <w:left w:val="single" w:sz="4" w:space="0" w:color="000000"/>
              <w:right w:val="single" w:sz="4" w:space="0" w:color="000000"/>
            </w:tcBorders>
            <w:shd w:val="clear" w:color="auto" w:fill="auto"/>
          </w:tcPr>
          <w:p w14:paraId="64FC5E5B" w14:textId="77777777" w:rsidR="00C92E14" w:rsidRPr="00937662" w:rsidRDefault="00C92E14" w:rsidP="00C92E14">
            <w:pPr>
              <w:rPr>
                <w:lang w:val="en-GB"/>
              </w:rPr>
            </w:pPr>
          </w:p>
        </w:tc>
        <w:tc>
          <w:tcPr>
            <w:tcW w:w="810" w:type="dxa"/>
            <w:tcBorders>
              <w:left w:val="single" w:sz="4" w:space="0" w:color="000000"/>
            </w:tcBorders>
            <w:shd w:val="clear" w:color="auto" w:fill="auto"/>
          </w:tcPr>
          <w:p w14:paraId="40BCC5BD" w14:textId="77777777" w:rsidR="00C92E14" w:rsidRPr="00937662" w:rsidRDefault="00C92E14" w:rsidP="00C92E14">
            <w:pPr>
              <w:rPr>
                <w:lang w:val="en-GB"/>
              </w:rPr>
            </w:pPr>
          </w:p>
        </w:tc>
        <w:tc>
          <w:tcPr>
            <w:tcW w:w="1085" w:type="dxa"/>
            <w:shd w:val="clear" w:color="auto" w:fill="auto"/>
          </w:tcPr>
          <w:p w14:paraId="24FAC718" w14:textId="6E321701" w:rsidR="00C92E14" w:rsidRPr="00937662" w:rsidRDefault="00374A9B" w:rsidP="00C92E14">
            <w:r w:rsidRPr="00937662">
              <w:t>MINT</w:t>
            </w:r>
          </w:p>
        </w:tc>
        <w:tc>
          <w:tcPr>
            <w:tcW w:w="1345" w:type="dxa"/>
            <w:shd w:val="clear" w:color="auto" w:fill="auto"/>
          </w:tcPr>
          <w:p w14:paraId="43B4989E" w14:textId="55243C1B" w:rsidR="00C92E14" w:rsidRPr="00937662" w:rsidRDefault="00E8124F" w:rsidP="00C92E14">
            <w:pPr>
              <w:rPr>
                <w:lang w:val="en-GB"/>
              </w:rPr>
            </w:pPr>
            <w:r>
              <w:rPr>
                <w:lang w:val="en-GB"/>
              </w:rPr>
              <w:t>14,907.00</w:t>
            </w:r>
          </w:p>
        </w:tc>
      </w:tr>
      <w:tr w:rsidR="00D55681" w:rsidRPr="00937662" w14:paraId="18CE88C6" w14:textId="77777777" w:rsidTr="00577F36">
        <w:trPr>
          <w:jc w:val="center"/>
        </w:trPr>
        <w:tc>
          <w:tcPr>
            <w:tcW w:w="1824" w:type="dxa"/>
            <w:vMerge/>
            <w:shd w:val="clear" w:color="auto" w:fill="9CC2E5" w:themeFill="accent1" w:themeFillTint="99"/>
          </w:tcPr>
          <w:p w14:paraId="4FFB0A53" w14:textId="77777777" w:rsidR="00D55681" w:rsidRPr="00937662" w:rsidRDefault="00D55681" w:rsidP="00C92E14">
            <w:pPr>
              <w:rPr>
                <w:lang w:val="en-GB"/>
              </w:rPr>
            </w:pPr>
          </w:p>
        </w:tc>
        <w:tc>
          <w:tcPr>
            <w:tcW w:w="592" w:type="dxa"/>
            <w:vMerge/>
            <w:shd w:val="clear" w:color="auto" w:fill="auto"/>
          </w:tcPr>
          <w:p w14:paraId="6CC7E6F8" w14:textId="77777777" w:rsidR="00D55681" w:rsidRPr="00937662" w:rsidRDefault="00D55681" w:rsidP="00C92E14">
            <w:pPr>
              <w:rPr>
                <w:lang w:val="en-GB"/>
              </w:rPr>
            </w:pPr>
          </w:p>
        </w:tc>
        <w:tc>
          <w:tcPr>
            <w:tcW w:w="1968" w:type="dxa"/>
            <w:shd w:val="clear" w:color="auto" w:fill="auto"/>
          </w:tcPr>
          <w:p w14:paraId="4BF4A99C" w14:textId="6655C8EE" w:rsidR="00D55681" w:rsidRDefault="00D55681" w:rsidP="00C92E14">
            <w:r>
              <w:t>Informimi i palëve të interesit lidhur me ligjin e ri</w:t>
            </w:r>
          </w:p>
        </w:tc>
        <w:tc>
          <w:tcPr>
            <w:tcW w:w="856" w:type="dxa"/>
            <w:tcBorders>
              <w:right w:val="single" w:sz="4" w:space="0" w:color="000000"/>
            </w:tcBorders>
            <w:shd w:val="clear" w:color="auto" w:fill="auto"/>
          </w:tcPr>
          <w:p w14:paraId="041BA6B5" w14:textId="2DC629D6" w:rsidR="00D55681" w:rsidRDefault="00D55681" w:rsidP="00C92E14">
            <w:pPr>
              <w:rPr>
                <w:lang w:val="en-GB"/>
              </w:rPr>
            </w:pPr>
          </w:p>
        </w:tc>
        <w:tc>
          <w:tcPr>
            <w:tcW w:w="851" w:type="dxa"/>
            <w:tcBorders>
              <w:left w:val="single" w:sz="4" w:space="0" w:color="000000"/>
              <w:right w:val="single" w:sz="4" w:space="0" w:color="000000"/>
            </w:tcBorders>
            <w:shd w:val="clear" w:color="auto" w:fill="auto"/>
          </w:tcPr>
          <w:p w14:paraId="33D729D9" w14:textId="2EBFF9D0" w:rsidR="00D55681" w:rsidRDefault="00E8124F" w:rsidP="00C92E14">
            <w:r>
              <w:t>X</w:t>
            </w:r>
          </w:p>
        </w:tc>
        <w:tc>
          <w:tcPr>
            <w:tcW w:w="850" w:type="dxa"/>
            <w:tcBorders>
              <w:left w:val="single" w:sz="4" w:space="0" w:color="000000"/>
              <w:right w:val="single" w:sz="4" w:space="0" w:color="000000"/>
            </w:tcBorders>
            <w:shd w:val="clear" w:color="auto" w:fill="auto"/>
          </w:tcPr>
          <w:p w14:paraId="606D373B" w14:textId="72A3A101" w:rsidR="00D55681" w:rsidRDefault="00E8124F" w:rsidP="00C92E14">
            <w:pPr>
              <w:rPr>
                <w:lang w:val="en-GB"/>
              </w:rPr>
            </w:pPr>
            <w:r>
              <w:rPr>
                <w:lang w:val="en-GB"/>
              </w:rPr>
              <w:t>X</w:t>
            </w:r>
          </w:p>
        </w:tc>
        <w:tc>
          <w:tcPr>
            <w:tcW w:w="794" w:type="dxa"/>
            <w:tcBorders>
              <w:left w:val="single" w:sz="4" w:space="0" w:color="000000"/>
              <w:right w:val="single" w:sz="4" w:space="0" w:color="000000"/>
            </w:tcBorders>
            <w:shd w:val="clear" w:color="auto" w:fill="auto"/>
          </w:tcPr>
          <w:p w14:paraId="58ECC4A0" w14:textId="77777777" w:rsidR="00D55681" w:rsidRPr="00937662" w:rsidRDefault="00D55681" w:rsidP="00C92E14">
            <w:pPr>
              <w:rPr>
                <w:lang w:val="en-GB"/>
              </w:rPr>
            </w:pPr>
          </w:p>
        </w:tc>
        <w:tc>
          <w:tcPr>
            <w:tcW w:w="810" w:type="dxa"/>
            <w:tcBorders>
              <w:left w:val="single" w:sz="4" w:space="0" w:color="000000"/>
            </w:tcBorders>
            <w:shd w:val="clear" w:color="auto" w:fill="auto"/>
          </w:tcPr>
          <w:p w14:paraId="0E400113" w14:textId="77777777" w:rsidR="00D55681" w:rsidRPr="00937662" w:rsidRDefault="00D55681" w:rsidP="00C92E14">
            <w:pPr>
              <w:rPr>
                <w:lang w:val="en-GB"/>
              </w:rPr>
            </w:pPr>
          </w:p>
        </w:tc>
        <w:tc>
          <w:tcPr>
            <w:tcW w:w="1085" w:type="dxa"/>
            <w:shd w:val="clear" w:color="auto" w:fill="auto"/>
          </w:tcPr>
          <w:p w14:paraId="4875EC4D" w14:textId="6E80E5AB" w:rsidR="00D55681" w:rsidRPr="00937662" w:rsidRDefault="00DC2180" w:rsidP="00C92E14">
            <w:r>
              <w:t>MINT</w:t>
            </w:r>
          </w:p>
        </w:tc>
        <w:tc>
          <w:tcPr>
            <w:tcW w:w="1345" w:type="dxa"/>
            <w:shd w:val="clear" w:color="auto" w:fill="auto"/>
          </w:tcPr>
          <w:p w14:paraId="6EF71ADD" w14:textId="7098FA7E" w:rsidR="00D55681" w:rsidRDefault="00E8124F" w:rsidP="00C92E14">
            <w:pPr>
              <w:rPr>
                <w:lang w:val="en-GB"/>
              </w:rPr>
            </w:pPr>
            <w:r>
              <w:rPr>
                <w:lang w:val="en-GB"/>
              </w:rPr>
              <w:t>4,500.00</w:t>
            </w:r>
          </w:p>
        </w:tc>
      </w:tr>
      <w:tr w:rsidR="00DC2180" w:rsidRPr="00937662" w14:paraId="072A28A8" w14:textId="77777777" w:rsidTr="00577F36">
        <w:trPr>
          <w:jc w:val="center"/>
        </w:trPr>
        <w:tc>
          <w:tcPr>
            <w:tcW w:w="1824" w:type="dxa"/>
            <w:vMerge/>
            <w:shd w:val="clear" w:color="auto" w:fill="9CC2E5" w:themeFill="accent1" w:themeFillTint="99"/>
          </w:tcPr>
          <w:p w14:paraId="79154934" w14:textId="77777777" w:rsidR="00DC2180" w:rsidRPr="00937662" w:rsidRDefault="00DC2180" w:rsidP="00C92E14">
            <w:pPr>
              <w:rPr>
                <w:lang w:val="en-GB"/>
              </w:rPr>
            </w:pPr>
          </w:p>
        </w:tc>
        <w:tc>
          <w:tcPr>
            <w:tcW w:w="592" w:type="dxa"/>
            <w:vMerge/>
            <w:shd w:val="clear" w:color="auto" w:fill="auto"/>
          </w:tcPr>
          <w:p w14:paraId="40A651BE" w14:textId="77777777" w:rsidR="00DC2180" w:rsidRPr="00937662" w:rsidRDefault="00DC2180" w:rsidP="00C92E14">
            <w:pPr>
              <w:rPr>
                <w:lang w:val="en-GB"/>
              </w:rPr>
            </w:pPr>
          </w:p>
        </w:tc>
        <w:tc>
          <w:tcPr>
            <w:tcW w:w="1968" w:type="dxa"/>
            <w:shd w:val="clear" w:color="auto" w:fill="auto"/>
          </w:tcPr>
          <w:p w14:paraId="479AB79F" w14:textId="635710AB" w:rsidR="00DC2180" w:rsidRDefault="00DC2180" w:rsidP="00C92E14">
            <w:r>
              <w:t>Konferenca dhe panele diskutimi</w:t>
            </w:r>
          </w:p>
        </w:tc>
        <w:tc>
          <w:tcPr>
            <w:tcW w:w="856" w:type="dxa"/>
            <w:tcBorders>
              <w:right w:val="single" w:sz="4" w:space="0" w:color="000000"/>
            </w:tcBorders>
            <w:shd w:val="clear" w:color="auto" w:fill="auto"/>
          </w:tcPr>
          <w:p w14:paraId="15832130" w14:textId="5E5686CD" w:rsidR="00DC2180" w:rsidRDefault="00DC2180" w:rsidP="00C92E14">
            <w:pPr>
              <w:rPr>
                <w:lang w:val="en-GB"/>
              </w:rPr>
            </w:pPr>
          </w:p>
        </w:tc>
        <w:tc>
          <w:tcPr>
            <w:tcW w:w="851" w:type="dxa"/>
            <w:tcBorders>
              <w:left w:val="single" w:sz="4" w:space="0" w:color="000000"/>
              <w:right w:val="single" w:sz="4" w:space="0" w:color="000000"/>
            </w:tcBorders>
            <w:shd w:val="clear" w:color="auto" w:fill="auto"/>
          </w:tcPr>
          <w:p w14:paraId="629CDA6B" w14:textId="59B92198" w:rsidR="00DC2180" w:rsidRDefault="00E8124F" w:rsidP="00C92E14">
            <w:r>
              <w:t>X</w:t>
            </w:r>
          </w:p>
        </w:tc>
        <w:tc>
          <w:tcPr>
            <w:tcW w:w="850" w:type="dxa"/>
            <w:tcBorders>
              <w:left w:val="single" w:sz="4" w:space="0" w:color="000000"/>
              <w:right w:val="single" w:sz="4" w:space="0" w:color="000000"/>
            </w:tcBorders>
            <w:shd w:val="clear" w:color="auto" w:fill="auto"/>
          </w:tcPr>
          <w:p w14:paraId="36742C9D" w14:textId="62CD6D60" w:rsidR="00DC2180" w:rsidRDefault="00E8124F" w:rsidP="00C92E14">
            <w:pPr>
              <w:rPr>
                <w:lang w:val="en-GB"/>
              </w:rPr>
            </w:pPr>
            <w:r>
              <w:rPr>
                <w:lang w:val="en-GB"/>
              </w:rPr>
              <w:t>X</w:t>
            </w:r>
          </w:p>
        </w:tc>
        <w:tc>
          <w:tcPr>
            <w:tcW w:w="794" w:type="dxa"/>
            <w:tcBorders>
              <w:left w:val="single" w:sz="4" w:space="0" w:color="000000"/>
              <w:right w:val="single" w:sz="4" w:space="0" w:color="000000"/>
            </w:tcBorders>
            <w:shd w:val="clear" w:color="auto" w:fill="auto"/>
          </w:tcPr>
          <w:p w14:paraId="21E05289" w14:textId="77777777" w:rsidR="00DC2180" w:rsidRPr="00937662" w:rsidRDefault="00DC2180" w:rsidP="00C92E14">
            <w:pPr>
              <w:rPr>
                <w:lang w:val="en-GB"/>
              </w:rPr>
            </w:pPr>
          </w:p>
        </w:tc>
        <w:tc>
          <w:tcPr>
            <w:tcW w:w="810" w:type="dxa"/>
            <w:tcBorders>
              <w:left w:val="single" w:sz="4" w:space="0" w:color="000000"/>
            </w:tcBorders>
            <w:shd w:val="clear" w:color="auto" w:fill="auto"/>
          </w:tcPr>
          <w:p w14:paraId="35CB20E5" w14:textId="77777777" w:rsidR="00DC2180" w:rsidRPr="00937662" w:rsidRDefault="00DC2180" w:rsidP="00C92E14">
            <w:pPr>
              <w:rPr>
                <w:lang w:val="en-GB"/>
              </w:rPr>
            </w:pPr>
          </w:p>
        </w:tc>
        <w:tc>
          <w:tcPr>
            <w:tcW w:w="1085" w:type="dxa"/>
            <w:shd w:val="clear" w:color="auto" w:fill="auto"/>
          </w:tcPr>
          <w:p w14:paraId="4CB9C3D6" w14:textId="0EEA28B2" w:rsidR="00DC2180" w:rsidRDefault="00DC2180" w:rsidP="00C92E14">
            <w:r>
              <w:t>MINT</w:t>
            </w:r>
          </w:p>
        </w:tc>
        <w:tc>
          <w:tcPr>
            <w:tcW w:w="1345" w:type="dxa"/>
            <w:shd w:val="clear" w:color="auto" w:fill="auto"/>
          </w:tcPr>
          <w:p w14:paraId="0D9ACFFF" w14:textId="68639249" w:rsidR="00DC2180" w:rsidRDefault="00E8124F" w:rsidP="00C92E14">
            <w:pPr>
              <w:rPr>
                <w:lang w:val="en-GB"/>
              </w:rPr>
            </w:pPr>
            <w:r>
              <w:rPr>
                <w:lang w:val="en-GB"/>
              </w:rPr>
              <w:t>2,500.00</w:t>
            </w:r>
          </w:p>
        </w:tc>
      </w:tr>
      <w:tr w:rsidR="00C92E14" w:rsidRPr="00937662" w14:paraId="4EB7BE1E" w14:textId="77777777" w:rsidTr="00577F36">
        <w:trPr>
          <w:jc w:val="center"/>
        </w:trPr>
        <w:tc>
          <w:tcPr>
            <w:tcW w:w="1824" w:type="dxa"/>
            <w:vMerge/>
            <w:shd w:val="clear" w:color="auto" w:fill="9CC2E5" w:themeFill="accent1" w:themeFillTint="99"/>
          </w:tcPr>
          <w:p w14:paraId="49C7090E" w14:textId="77777777" w:rsidR="00C92E14" w:rsidRPr="00937662" w:rsidRDefault="00C92E14" w:rsidP="00C92E14">
            <w:pPr>
              <w:rPr>
                <w:lang w:val="en-GB"/>
              </w:rPr>
            </w:pPr>
          </w:p>
        </w:tc>
        <w:tc>
          <w:tcPr>
            <w:tcW w:w="592" w:type="dxa"/>
            <w:vMerge/>
            <w:shd w:val="clear" w:color="auto" w:fill="auto"/>
          </w:tcPr>
          <w:p w14:paraId="73B3336E" w14:textId="77777777" w:rsidR="00C92E14" w:rsidRPr="00937662" w:rsidRDefault="00C92E14" w:rsidP="00C92E14">
            <w:pPr>
              <w:rPr>
                <w:lang w:val="en-GB"/>
              </w:rPr>
            </w:pPr>
          </w:p>
        </w:tc>
        <w:tc>
          <w:tcPr>
            <w:tcW w:w="1968" w:type="dxa"/>
            <w:shd w:val="clear" w:color="auto" w:fill="auto"/>
          </w:tcPr>
          <w:p w14:paraId="3CC8EF88" w14:textId="6C01A8AE" w:rsidR="00C92E14" w:rsidRPr="00937662" w:rsidRDefault="00DC2180" w:rsidP="00C92E14">
            <w:r>
              <w:t>Fushata edukative dhe informuese</w:t>
            </w:r>
          </w:p>
        </w:tc>
        <w:tc>
          <w:tcPr>
            <w:tcW w:w="856" w:type="dxa"/>
            <w:tcBorders>
              <w:right w:val="single" w:sz="4" w:space="0" w:color="000000"/>
            </w:tcBorders>
            <w:shd w:val="clear" w:color="auto" w:fill="auto"/>
          </w:tcPr>
          <w:p w14:paraId="039A15E4" w14:textId="327A6A58" w:rsidR="00C92E14" w:rsidRPr="00937662" w:rsidRDefault="00C92E14" w:rsidP="00C92E14">
            <w:pPr>
              <w:rPr>
                <w:lang w:val="en-GB"/>
              </w:rPr>
            </w:pPr>
          </w:p>
        </w:tc>
        <w:tc>
          <w:tcPr>
            <w:tcW w:w="851" w:type="dxa"/>
            <w:tcBorders>
              <w:left w:val="single" w:sz="4" w:space="0" w:color="000000"/>
              <w:right w:val="single" w:sz="4" w:space="0" w:color="000000"/>
            </w:tcBorders>
            <w:shd w:val="clear" w:color="auto" w:fill="auto"/>
          </w:tcPr>
          <w:p w14:paraId="49468B5E" w14:textId="74A5812C" w:rsidR="00C92E14" w:rsidRPr="00937662" w:rsidRDefault="00E8124F" w:rsidP="00C92E14">
            <w:r>
              <w:t>X</w:t>
            </w:r>
          </w:p>
        </w:tc>
        <w:tc>
          <w:tcPr>
            <w:tcW w:w="850" w:type="dxa"/>
            <w:tcBorders>
              <w:left w:val="single" w:sz="4" w:space="0" w:color="000000"/>
              <w:right w:val="single" w:sz="4" w:space="0" w:color="000000"/>
            </w:tcBorders>
            <w:shd w:val="clear" w:color="auto" w:fill="auto"/>
          </w:tcPr>
          <w:p w14:paraId="325D7030" w14:textId="70FCAD96" w:rsidR="00C92E14" w:rsidRPr="00937662" w:rsidRDefault="00E8124F" w:rsidP="00C92E14">
            <w:r>
              <w:t>X</w:t>
            </w:r>
          </w:p>
        </w:tc>
        <w:tc>
          <w:tcPr>
            <w:tcW w:w="794" w:type="dxa"/>
            <w:tcBorders>
              <w:left w:val="single" w:sz="4" w:space="0" w:color="000000"/>
              <w:right w:val="single" w:sz="4" w:space="0" w:color="000000"/>
            </w:tcBorders>
            <w:shd w:val="clear" w:color="auto" w:fill="auto"/>
          </w:tcPr>
          <w:p w14:paraId="45A5AF83" w14:textId="77777777" w:rsidR="00C92E14" w:rsidRPr="00937662" w:rsidRDefault="00C92E14" w:rsidP="00C92E14">
            <w:pPr>
              <w:rPr>
                <w:lang w:val="en-GB"/>
              </w:rPr>
            </w:pPr>
          </w:p>
        </w:tc>
        <w:tc>
          <w:tcPr>
            <w:tcW w:w="810" w:type="dxa"/>
            <w:tcBorders>
              <w:left w:val="single" w:sz="4" w:space="0" w:color="000000"/>
            </w:tcBorders>
            <w:shd w:val="clear" w:color="auto" w:fill="auto"/>
          </w:tcPr>
          <w:p w14:paraId="004B18C6" w14:textId="77777777" w:rsidR="00C92E14" w:rsidRPr="00937662" w:rsidRDefault="00C92E14" w:rsidP="00C92E14">
            <w:pPr>
              <w:rPr>
                <w:lang w:val="en-GB"/>
              </w:rPr>
            </w:pPr>
          </w:p>
        </w:tc>
        <w:tc>
          <w:tcPr>
            <w:tcW w:w="1085" w:type="dxa"/>
            <w:shd w:val="clear" w:color="auto" w:fill="auto"/>
          </w:tcPr>
          <w:p w14:paraId="5C0211C9" w14:textId="081C549F" w:rsidR="00C92E14" w:rsidRPr="00937662" w:rsidRDefault="00374A9B" w:rsidP="00C92E14">
            <w:r w:rsidRPr="00937662">
              <w:t>MINT</w:t>
            </w:r>
          </w:p>
        </w:tc>
        <w:tc>
          <w:tcPr>
            <w:tcW w:w="1345" w:type="dxa"/>
            <w:shd w:val="clear" w:color="auto" w:fill="auto"/>
          </w:tcPr>
          <w:p w14:paraId="56712C27" w14:textId="2931B35F" w:rsidR="00C92E14" w:rsidRPr="00937662" w:rsidRDefault="00E8124F" w:rsidP="00C92E14">
            <w:pPr>
              <w:rPr>
                <w:lang w:val="en-GB"/>
              </w:rPr>
            </w:pPr>
            <w:r>
              <w:rPr>
                <w:lang w:val="en-GB"/>
              </w:rPr>
              <w:t>3,000.00</w:t>
            </w:r>
          </w:p>
        </w:tc>
      </w:tr>
      <w:tr w:rsidR="00DC2180" w:rsidRPr="00937662" w14:paraId="066BB3F0" w14:textId="77777777" w:rsidTr="00927933">
        <w:trPr>
          <w:jc w:val="center"/>
        </w:trPr>
        <w:tc>
          <w:tcPr>
            <w:tcW w:w="1824" w:type="dxa"/>
            <w:vMerge w:val="restart"/>
            <w:shd w:val="clear" w:color="auto" w:fill="9CC2E5" w:themeFill="accent1" w:themeFillTint="99"/>
          </w:tcPr>
          <w:p w14:paraId="7FEE2FC5" w14:textId="756A531C" w:rsidR="00DC2180" w:rsidRPr="00937662" w:rsidRDefault="00DC2180" w:rsidP="00927933">
            <w:bookmarkStart w:id="26" w:name="_Toc66089565"/>
            <w:bookmarkStart w:id="27" w:name="_Toc69198232"/>
            <w:r>
              <w:t>Pikësynimi specifik 3</w:t>
            </w:r>
            <w:r w:rsidRPr="00937662">
              <w:t xml:space="preserve">: </w:t>
            </w:r>
          </w:p>
          <w:p w14:paraId="6FAB9EAF" w14:textId="77777777" w:rsidR="00DC2180" w:rsidRPr="00937662" w:rsidRDefault="00DC2180" w:rsidP="00927933">
            <w:pPr>
              <w:rPr>
                <w:lang w:val="en-GB"/>
              </w:rPr>
            </w:pPr>
          </w:p>
          <w:p w14:paraId="25F3A52C" w14:textId="77777777" w:rsidR="00DC2180" w:rsidRPr="00937662" w:rsidRDefault="00DC2180" w:rsidP="00927933">
            <w:pPr>
              <w:rPr>
                <w:lang w:val="en-GB"/>
              </w:rPr>
            </w:pPr>
          </w:p>
        </w:tc>
        <w:tc>
          <w:tcPr>
            <w:tcW w:w="592" w:type="dxa"/>
            <w:vMerge w:val="restart"/>
            <w:shd w:val="clear" w:color="auto" w:fill="auto"/>
          </w:tcPr>
          <w:p w14:paraId="0F145DBB" w14:textId="77777777" w:rsidR="00DC2180" w:rsidRPr="00937662" w:rsidRDefault="00DC2180" w:rsidP="00927933">
            <w:pPr>
              <w:rPr>
                <w:lang w:val="en-GB"/>
              </w:rPr>
            </w:pPr>
          </w:p>
        </w:tc>
        <w:tc>
          <w:tcPr>
            <w:tcW w:w="7214" w:type="dxa"/>
            <w:gridSpan w:val="7"/>
            <w:shd w:val="clear" w:color="auto" w:fill="auto"/>
          </w:tcPr>
          <w:p w14:paraId="1B5C931F" w14:textId="57E35598" w:rsidR="00DC2180" w:rsidRPr="00937662" w:rsidRDefault="00DC2180" w:rsidP="00927933">
            <w:r>
              <w:t>Platforma digjitale për njoftimin dhe menaxhimin e procedurave për aplikim për mbrojtjen e tregut</w:t>
            </w:r>
          </w:p>
        </w:tc>
        <w:tc>
          <w:tcPr>
            <w:tcW w:w="1345" w:type="dxa"/>
            <w:shd w:val="clear" w:color="auto" w:fill="auto"/>
          </w:tcPr>
          <w:p w14:paraId="4984CAFA" w14:textId="77777777" w:rsidR="00DC2180" w:rsidRPr="00937662" w:rsidRDefault="00DC2180" w:rsidP="00927933">
            <w:pPr>
              <w:rPr>
                <w:lang w:val="en-GB"/>
              </w:rPr>
            </w:pPr>
          </w:p>
        </w:tc>
      </w:tr>
      <w:tr w:rsidR="00DC2180" w:rsidRPr="00937662" w14:paraId="148BE35B" w14:textId="77777777" w:rsidTr="00927933">
        <w:trPr>
          <w:jc w:val="center"/>
        </w:trPr>
        <w:tc>
          <w:tcPr>
            <w:tcW w:w="1824" w:type="dxa"/>
            <w:vMerge/>
            <w:shd w:val="clear" w:color="auto" w:fill="9CC2E5" w:themeFill="accent1" w:themeFillTint="99"/>
          </w:tcPr>
          <w:p w14:paraId="6CE2ACDE" w14:textId="77777777" w:rsidR="00DC2180" w:rsidRPr="00937662" w:rsidRDefault="00DC2180" w:rsidP="00927933">
            <w:pPr>
              <w:rPr>
                <w:lang w:val="en-GB"/>
              </w:rPr>
            </w:pPr>
          </w:p>
        </w:tc>
        <w:tc>
          <w:tcPr>
            <w:tcW w:w="592" w:type="dxa"/>
            <w:vMerge/>
            <w:shd w:val="clear" w:color="auto" w:fill="auto"/>
          </w:tcPr>
          <w:p w14:paraId="4F0EA0B5" w14:textId="77777777" w:rsidR="00DC2180" w:rsidRPr="00937662" w:rsidRDefault="00DC2180" w:rsidP="00927933">
            <w:pPr>
              <w:rPr>
                <w:lang w:val="en-GB"/>
              </w:rPr>
            </w:pPr>
          </w:p>
        </w:tc>
        <w:tc>
          <w:tcPr>
            <w:tcW w:w="1968" w:type="dxa"/>
            <w:shd w:val="clear" w:color="auto" w:fill="auto"/>
          </w:tcPr>
          <w:p w14:paraId="7F38147F" w14:textId="77777777" w:rsidR="00DC2180" w:rsidRPr="00937662" w:rsidRDefault="00DC2180" w:rsidP="00927933">
            <w:pPr>
              <w:rPr>
                <w:lang w:val="en-GB"/>
              </w:rPr>
            </w:pPr>
          </w:p>
        </w:tc>
        <w:tc>
          <w:tcPr>
            <w:tcW w:w="856" w:type="dxa"/>
            <w:tcBorders>
              <w:bottom w:val="single" w:sz="4" w:space="0" w:color="auto"/>
            </w:tcBorders>
            <w:shd w:val="clear" w:color="auto" w:fill="auto"/>
          </w:tcPr>
          <w:p w14:paraId="257736B0" w14:textId="77777777" w:rsidR="00DC2180" w:rsidRPr="00937662" w:rsidRDefault="00DC2180" w:rsidP="00927933">
            <w:r w:rsidRPr="00937662">
              <w:t>Viti 1</w:t>
            </w:r>
          </w:p>
        </w:tc>
        <w:tc>
          <w:tcPr>
            <w:tcW w:w="851" w:type="dxa"/>
            <w:tcBorders>
              <w:bottom w:val="single" w:sz="4" w:space="0" w:color="auto"/>
              <w:right w:val="single" w:sz="4" w:space="0" w:color="000000"/>
            </w:tcBorders>
            <w:shd w:val="clear" w:color="auto" w:fill="auto"/>
          </w:tcPr>
          <w:p w14:paraId="6979BCCD" w14:textId="77777777" w:rsidR="00DC2180" w:rsidRPr="00937662" w:rsidRDefault="00DC2180" w:rsidP="00927933">
            <w:r w:rsidRPr="00937662">
              <w:t>Viti 2</w:t>
            </w:r>
          </w:p>
        </w:tc>
        <w:tc>
          <w:tcPr>
            <w:tcW w:w="850" w:type="dxa"/>
            <w:tcBorders>
              <w:left w:val="single" w:sz="4" w:space="0" w:color="000000"/>
              <w:bottom w:val="single" w:sz="4" w:space="0" w:color="auto"/>
            </w:tcBorders>
            <w:shd w:val="clear" w:color="auto" w:fill="auto"/>
          </w:tcPr>
          <w:p w14:paraId="7E4CED85" w14:textId="77777777" w:rsidR="00DC2180" w:rsidRPr="00937662" w:rsidRDefault="00DC2180" w:rsidP="00927933">
            <w:r w:rsidRPr="00937662">
              <w:t>Viti 3</w:t>
            </w:r>
          </w:p>
        </w:tc>
        <w:tc>
          <w:tcPr>
            <w:tcW w:w="794" w:type="dxa"/>
            <w:tcBorders>
              <w:bottom w:val="single" w:sz="4" w:space="0" w:color="auto"/>
              <w:right w:val="single" w:sz="4" w:space="0" w:color="000000"/>
            </w:tcBorders>
            <w:shd w:val="clear" w:color="auto" w:fill="auto"/>
          </w:tcPr>
          <w:p w14:paraId="6840FA7B" w14:textId="77777777" w:rsidR="00DC2180" w:rsidRPr="00937662" w:rsidRDefault="00DC2180" w:rsidP="00927933">
            <w:r w:rsidRPr="00937662">
              <w:t>Viti 4</w:t>
            </w:r>
          </w:p>
        </w:tc>
        <w:tc>
          <w:tcPr>
            <w:tcW w:w="810" w:type="dxa"/>
            <w:tcBorders>
              <w:left w:val="single" w:sz="4" w:space="0" w:color="000000"/>
              <w:bottom w:val="single" w:sz="4" w:space="0" w:color="auto"/>
            </w:tcBorders>
            <w:shd w:val="clear" w:color="auto" w:fill="auto"/>
          </w:tcPr>
          <w:p w14:paraId="1FD62191" w14:textId="77777777" w:rsidR="00DC2180" w:rsidRPr="00937662" w:rsidRDefault="00DC2180" w:rsidP="00927933">
            <w:r w:rsidRPr="00937662">
              <w:t>Viti 5</w:t>
            </w:r>
          </w:p>
        </w:tc>
        <w:tc>
          <w:tcPr>
            <w:tcW w:w="1085" w:type="dxa"/>
            <w:shd w:val="clear" w:color="auto" w:fill="auto"/>
          </w:tcPr>
          <w:p w14:paraId="74D28C31" w14:textId="77777777" w:rsidR="00DC2180" w:rsidRPr="00937662" w:rsidRDefault="00DC2180" w:rsidP="00927933">
            <w:pPr>
              <w:rPr>
                <w:lang w:val="en-GB"/>
              </w:rPr>
            </w:pPr>
          </w:p>
        </w:tc>
        <w:tc>
          <w:tcPr>
            <w:tcW w:w="1345" w:type="dxa"/>
            <w:shd w:val="clear" w:color="auto" w:fill="auto"/>
          </w:tcPr>
          <w:p w14:paraId="4C592FCF" w14:textId="77777777" w:rsidR="00DC2180" w:rsidRPr="00937662" w:rsidRDefault="00DC2180" w:rsidP="00927933">
            <w:pPr>
              <w:rPr>
                <w:lang w:val="en-GB"/>
              </w:rPr>
            </w:pPr>
          </w:p>
        </w:tc>
      </w:tr>
      <w:tr w:rsidR="00DC2180" w:rsidRPr="00937662" w14:paraId="10E2BDD9" w14:textId="77777777" w:rsidTr="00927933">
        <w:trPr>
          <w:trHeight w:val="2060"/>
          <w:jc w:val="center"/>
        </w:trPr>
        <w:tc>
          <w:tcPr>
            <w:tcW w:w="1824" w:type="dxa"/>
            <w:vMerge/>
            <w:shd w:val="clear" w:color="auto" w:fill="9CC2E5" w:themeFill="accent1" w:themeFillTint="99"/>
          </w:tcPr>
          <w:p w14:paraId="559DD4A7" w14:textId="77777777" w:rsidR="00DC2180" w:rsidRPr="00937662" w:rsidRDefault="00DC2180" w:rsidP="00927933">
            <w:pPr>
              <w:rPr>
                <w:lang w:val="en-GB"/>
              </w:rPr>
            </w:pPr>
          </w:p>
        </w:tc>
        <w:tc>
          <w:tcPr>
            <w:tcW w:w="592" w:type="dxa"/>
            <w:vMerge/>
            <w:shd w:val="clear" w:color="auto" w:fill="auto"/>
          </w:tcPr>
          <w:p w14:paraId="22F3E628" w14:textId="77777777" w:rsidR="00DC2180" w:rsidRPr="00937662" w:rsidRDefault="00DC2180" w:rsidP="00927933">
            <w:pPr>
              <w:rPr>
                <w:lang w:val="en-GB"/>
              </w:rPr>
            </w:pPr>
          </w:p>
        </w:tc>
        <w:tc>
          <w:tcPr>
            <w:tcW w:w="1968" w:type="dxa"/>
            <w:shd w:val="clear" w:color="auto" w:fill="auto"/>
          </w:tcPr>
          <w:p w14:paraId="01D15E0F" w14:textId="361F8990" w:rsidR="00DC2180" w:rsidRPr="00937662" w:rsidRDefault="00DC2180" w:rsidP="00927933">
            <w:r>
              <w:t>Hartimi i termave të referencës</w:t>
            </w:r>
          </w:p>
        </w:tc>
        <w:tc>
          <w:tcPr>
            <w:tcW w:w="856" w:type="dxa"/>
            <w:tcBorders>
              <w:bottom w:val="nil"/>
              <w:right w:val="single" w:sz="4" w:space="0" w:color="000000"/>
            </w:tcBorders>
            <w:shd w:val="clear" w:color="auto" w:fill="auto"/>
          </w:tcPr>
          <w:p w14:paraId="472B269A" w14:textId="77777777" w:rsidR="00DC2180" w:rsidRPr="00937662" w:rsidRDefault="00DC2180" w:rsidP="00DC2180">
            <w:pPr>
              <w:rPr>
                <w:lang w:val="en-GB"/>
              </w:rPr>
            </w:pPr>
          </w:p>
        </w:tc>
        <w:tc>
          <w:tcPr>
            <w:tcW w:w="851" w:type="dxa"/>
            <w:tcBorders>
              <w:left w:val="single" w:sz="4" w:space="0" w:color="000000"/>
              <w:bottom w:val="nil"/>
              <w:right w:val="single" w:sz="4" w:space="0" w:color="000000"/>
            </w:tcBorders>
            <w:shd w:val="clear" w:color="auto" w:fill="auto"/>
          </w:tcPr>
          <w:p w14:paraId="5D74C3F3" w14:textId="58688242" w:rsidR="00DC2180" w:rsidRPr="00937662" w:rsidRDefault="00E8124F" w:rsidP="00927933">
            <w:r>
              <w:t>X</w:t>
            </w:r>
          </w:p>
        </w:tc>
        <w:tc>
          <w:tcPr>
            <w:tcW w:w="850" w:type="dxa"/>
            <w:tcBorders>
              <w:top w:val="single" w:sz="4" w:space="0" w:color="000000"/>
              <w:left w:val="single" w:sz="4" w:space="0" w:color="000000"/>
              <w:bottom w:val="nil"/>
              <w:right w:val="single" w:sz="4" w:space="0" w:color="000000"/>
            </w:tcBorders>
            <w:shd w:val="clear" w:color="auto" w:fill="auto"/>
          </w:tcPr>
          <w:p w14:paraId="611178C5" w14:textId="77777777" w:rsidR="00DC2180" w:rsidRPr="00937662" w:rsidRDefault="00DC2180" w:rsidP="00E8124F">
            <w:pPr>
              <w:rPr>
                <w:lang w:val="en-GB"/>
              </w:rPr>
            </w:pPr>
          </w:p>
        </w:tc>
        <w:tc>
          <w:tcPr>
            <w:tcW w:w="794" w:type="dxa"/>
            <w:tcBorders>
              <w:top w:val="single" w:sz="4" w:space="0" w:color="000000"/>
              <w:left w:val="single" w:sz="4" w:space="0" w:color="000000"/>
              <w:bottom w:val="nil"/>
              <w:right w:val="single" w:sz="4" w:space="0" w:color="000000"/>
            </w:tcBorders>
            <w:shd w:val="clear" w:color="auto" w:fill="auto"/>
          </w:tcPr>
          <w:p w14:paraId="765314A0" w14:textId="77777777" w:rsidR="00DC2180" w:rsidRPr="00937662" w:rsidRDefault="00DC2180" w:rsidP="00927933">
            <w:pPr>
              <w:rPr>
                <w:lang w:val="en-GB"/>
              </w:rPr>
            </w:pPr>
          </w:p>
          <w:p w14:paraId="6C4B3003" w14:textId="77777777" w:rsidR="00DC2180" w:rsidRPr="00937662" w:rsidRDefault="00DC2180" w:rsidP="00927933">
            <w:pPr>
              <w:rPr>
                <w:lang w:val="en-GB"/>
              </w:rPr>
            </w:pPr>
          </w:p>
        </w:tc>
        <w:tc>
          <w:tcPr>
            <w:tcW w:w="810" w:type="dxa"/>
            <w:tcBorders>
              <w:top w:val="single" w:sz="4" w:space="0" w:color="000000"/>
              <w:left w:val="single" w:sz="4" w:space="0" w:color="000000"/>
              <w:bottom w:val="nil"/>
            </w:tcBorders>
            <w:shd w:val="clear" w:color="auto" w:fill="auto"/>
          </w:tcPr>
          <w:p w14:paraId="1B7DE6E4" w14:textId="77777777" w:rsidR="00DC2180" w:rsidRPr="00937662" w:rsidRDefault="00DC2180" w:rsidP="00927933">
            <w:pPr>
              <w:rPr>
                <w:lang w:val="en-GB"/>
              </w:rPr>
            </w:pPr>
          </w:p>
          <w:p w14:paraId="480F7FC9" w14:textId="77777777" w:rsidR="00DC2180" w:rsidRPr="00937662" w:rsidRDefault="00DC2180" w:rsidP="00927933">
            <w:pPr>
              <w:rPr>
                <w:lang w:val="en-GB"/>
              </w:rPr>
            </w:pPr>
          </w:p>
        </w:tc>
        <w:tc>
          <w:tcPr>
            <w:tcW w:w="1085" w:type="dxa"/>
            <w:shd w:val="clear" w:color="auto" w:fill="auto"/>
          </w:tcPr>
          <w:p w14:paraId="15A61C63" w14:textId="77777777" w:rsidR="00DC2180" w:rsidRPr="00937662" w:rsidRDefault="00DC2180" w:rsidP="00927933">
            <w:r w:rsidRPr="00937662">
              <w:t>MINT</w:t>
            </w:r>
          </w:p>
        </w:tc>
        <w:tc>
          <w:tcPr>
            <w:tcW w:w="1345" w:type="dxa"/>
            <w:shd w:val="clear" w:color="auto" w:fill="auto"/>
          </w:tcPr>
          <w:p w14:paraId="209BB7B1" w14:textId="3582BCFC" w:rsidR="00DC2180" w:rsidRPr="00937662" w:rsidRDefault="00170212" w:rsidP="00927933">
            <w:pPr>
              <w:rPr>
                <w:lang w:val="en-GB"/>
              </w:rPr>
            </w:pPr>
            <w:r>
              <w:rPr>
                <w:lang w:val="en-GB"/>
              </w:rPr>
              <w:t>7000.00</w:t>
            </w:r>
          </w:p>
        </w:tc>
      </w:tr>
      <w:tr w:rsidR="00DC2180" w:rsidRPr="00937662" w14:paraId="7974F880" w14:textId="77777777" w:rsidTr="00927933">
        <w:trPr>
          <w:jc w:val="center"/>
        </w:trPr>
        <w:tc>
          <w:tcPr>
            <w:tcW w:w="1824" w:type="dxa"/>
            <w:vMerge/>
            <w:shd w:val="clear" w:color="auto" w:fill="9CC2E5" w:themeFill="accent1" w:themeFillTint="99"/>
          </w:tcPr>
          <w:p w14:paraId="6599D850" w14:textId="77777777" w:rsidR="00DC2180" w:rsidRPr="00937662" w:rsidRDefault="00DC2180" w:rsidP="00927933">
            <w:pPr>
              <w:rPr>
                <w:lang w:val="en-GB"/>
              </w:rPr>
            </w:pPr>
          </w:p>
        </w:tc>
        <w:tc>
          <w:tcPr>
            <w:tcW w:w="592" w:type="dxa"/>
            <w:vMerge/>
            <w:shd w:val="clear" w:color="auto" w:fill="auto"/>
          </w:tcPr>
          <w:p w14:paraId="5A0C74E4" w14:textId="77777777" w:rsidR="00DC2180" w:rsidRPr="00937662" w:rsidRDefault="00DC2180" w:rsidP="00927933">
            <w:pPr>
              <w:rPr>
                <w:lang w:val="en-GB"/>
              </w:rPr>
            </w:pPr>
          </w:p>
        </w:tc>
        <w:tc>
          <w:tcPr>
            <w:tcW w:w="1968" w:type="dxa"/>
            <w:shd w:val="clear" w:color="auto" w:fill="auto"/>
          </w:tcPr>
          <w:p w14:paraId="2AED2406" w14:textId="49BCB51A" w:rsidR="00DC2180" w:rsidRPr="00937662" w:rsidRDefault="00170212" w:rsidP="00927933">
            <w:r>
              <w:t>Zhvillimi dhe përditësimi i të dhënave në platformë</w:t>
            </w:r>
          </w:p>
        </w:tc>
        <w:tc>
          <w:tcPr>
            <w:tcW w:w="856" w:type="dxa"/>
            <w:tcBorders>
              <w:right w:val="single" w:sz="4" w:space="0" w:color="000000"/>
            </w:tcBorders>
            <w:shd w:val="clear" w:color="auto" w:fill="auto"/>
          </w:tcPr>
          <w:p w14:paraId="668BC1CF" w14:textId="72ECBF94" w:rsidR="00DC2180" w:rsidRPr="00937662" w:rsidRDefault="00DC2180" w:rsidP="00927933">
            <w:pPr>
              <w:rPr>
                <w:lang w:val="en-GB"/>
              </w:rPr>
            </w:pPr>
          </w:p>
        </w:tc>
        <w:tc>
          <w:tcPr>
            <w:tcW w:w="851" w:type="dxa"/>
            <w:tcBorders>
              <w:left w:val="single" w:sz="4" w:space="0" w:color="000000"/>
              <w:right w:val="single" w:sz="4" w:space="0" w:color="000000"/>
            </w:tcBorders>
            <w:shd w:val="clear" w:color="auto" w:fill="auto"/>
          </w:tcPr>
          <w:p w14:paraId="1A9714EB" w14:textId="296A6D38" w:rsidR="00DC2180" w:rsidRPr="00937662" w:rsidRDefault="00DC2180" w:rsidP="00927933"/>
        </w:tc>
        <w:tc>
          <w:tcPr>
            <w:tcW w:w="850" w:type="dxa"/>
            <w:tcBorders>
              <w:left w:val="single" w:sz="4" w:space="0" w:color="000000"/>
              <w:right w:val="single" w:sz="4" w:space="0" w:color="000000"/>
            </w:tcBorders>
            <w:shd w:val="clear" w:color="auto" w:fill="auto"/>
          </w:tcPr>
          <w:p w14:paraId="310A325F" w14:textId="43B78D2A" w:rsidR="00DC2180" w:rsidRPr="00937662" w:rsidRDefault="00E8124F" w:rsidP="00927933">
            <w:pPr>
              <w:rPr>
                <w:lang w:val="en-GB"/>
              </w:rPr>
            </w:pPr>
            <w:r>
              <w:rPr>
                <w:lang w:val="en-GB"/>
              </w:rPr>
              <w:t>X</w:t>
            </w:r>
          </w:p>
        </w:tc>
        <w:tc>
          <w:tcPr>
            <w:tcW w:w="794" w:type="dxa"/>
            <w:tcBorders>
              <w:left w:val="single" w:sz="4" w:space="0" w:color="000000"/>
              <w:right w:val="single" w:sz="4" w:space="0" w:color="000000"/>
            </w:tcBorders>
            <w:shd w:val="clear" w:color="auto" w:fill="auto"/>
          </w:tcPr>
          <w:p w14:paraId="6F3B266C" w14:textId="3A5A8AB9" w:rsidR="00DC2180" w:rsidRPr="00937662" w:rsidRDefault="00DC2180" w:rsidP="00927933">
            <w:pPr>
              <w:rPr>
                <w:lang w:val="en-GB"/>
              </w:rPr>
            </w:pPr>
          </w:p>
        </w:tc>
        <w:tc>
          <w:tcPr>
            <w:tcW w:w="810" w:type="dxa"/>
            <w:tcBorders>
              <w:left w:val="single" w:sz="4" w:space="0" w:color="000000"/>
            </w:tcBorders>
            <w:shd w:val="clear" w:color="auto" w:fill="auto"/>
          </w:tcPr>
          <w:p w14:paraId="4B3DFB1D" w14:textId="77777777" w:rsidR="00DC2180" w:rsidRPr="00937662" w:rsidRDefault="00DC2180" w:rsidP="00927933">
            <w:pPr>
              <w:rPr>
                <w:lang w:val="en-GB"/>
              </w:rPr>
            </w:pPr>
          </w:p>
        </w:tc>
        <w:tc>
          <w:tcPr>
            <w:tcW w:w="1085" w:type="dxa"/>
            <w:shd w:val="clear" w:color="auto" w:fill="auto"/>
          </w:tcPr>
          <w:p w14:paraId="23D7675F" w14:textId="77777777" w:rsidR="00DC2180" w:rsidRPr="00937662" w:rsidRDefault="00DC2180" w:rsidP="00927933">
            <w:r w:rsidRPr="00937662">
              <w:t>MINT</w:t>
            </w:r>
          </w:p>
        </w:tc>
        <w:tc>
          <w:tcPr>
            <w:tcW w:w="1345" w:type="dxa"/>
            <w:shd w:val="clear" w:color="auto" w:fill="auto"/>
          </w:tcPr>
          <w:p w14:paraId="19A56734" w14:textId="1A41417B" w:rsidR="00DC2180" w:rsidRPr="00937662" w:rsidRDefault="00170212" w:rsidP="00E8124F">
            <w:pPr>
              <w:rPr>
                <w:lang w:val="en-GB"/>
              </w:rPr>
            </w:pPr>
            <w:r>
              <w:rPr>
                <w:lang w:val="en-GB"/>
              </w:rPr>
              <w:t>4</w:t>
            </w:r>
            <w:r w:rsidR="00E8124F">
              <w:rPr>
                <w:lang w:val="en-GB"/>
              </w:rPr>
              <w:t>3</w:t>
            </w:r>
            <w:r>
              <w:rPr>
                <w:lang w:val="en-GB"/>
              </w:rPr>
              <w:t>,000.00</w:t>
            </w:r>
          </w:p>
        </w:tc>
      </w:tr>
      <w:tr w:rsidR="00DC2180" w:rsidRPr="00937662" w14:paraId="2DD38C56" w14:textId="77777777" w:rsidTr="00927933">
        <w:trPr>
          <w:jc w:val="center"/>
        </w:trPr>
        <w:tc>
          <w:tcPr>
            <w:tcW w:w="1824" w:type="dxa"/>
            <w:vMerge/>
            <w:shd w:val="clear" w:color="auto" w:fill="9CC2E5" w:themeFill="accent1" w:themeFillTint="99"/>
          </w:tcPr>
          <w:p w14:paraId="41B92768" w14:textId="77777777" w:rsidR="00DC2180" w:rsidRPr="00937662" w:rsidRDefault="00DC2180" w:rsidP="00927933">
            <w:pPr>
              <w:rPr>
                <w:lang w:val="en-GB"/>
              </w:rPr>
            </w:pPr>
          </w:p>
        </w:tc>
        <w:tc>
          <w:tcPr>
            <w:tcW w:w="592" w:type="dxa"/>
            <w:tcBorders>
              <w:top w:val="nil"/>
            </w:tcBorders>
            <w:shd w:val="clear" w:color="auto" w:fill="auto"/>
          </w:tcPr>
          <w:p w14:paraId="77298C9B" w14:textId="77777777" w:rsidR="00DC2180" w:rsidRPr="00937662" w:rsidRDefault="00DC2180" w:rsidP="00927933">
            <w:pPr>
              <w:rPr>
                <w:lang w:val="en-GB"/>
              </w:rPr>
            </w:pPr>
          </w:p>
        </w:tc>
        <w:tc>
          <w:tcPr>
            <w:tcW w:w="1968" w:type="dxa"/>
            <w:shd w:val="clear" w:color="auto" w:fill="auto"/>
          </w:tcPr>
          <w:p w14:paraId="10040F9F" w14:textId="77777777" w:rsidR="00DC2180" w:rsidRPr="00937662" w:rsidRDefault="00DC2180" w:rsidP="00927933"/>
        </w:tc>
        <w:tc>
          <w:tcPr>
            <w:tcW w:w="856" w:type="dxa"/>
            <w:tcBorders>
              <w:right w:val="single" w:sz="4" w:space="0" w:color="000000"/>
            </w:tcBorders>
            <w:shd w:val="clear" w:color="auto" w:fill="auto"/>
          </w:tcPr>
          <w:p w14:paraId="06D7FD3D" w14:textId="77777777" w:rsidR="00DC2180" w:rsidRPr="00937662" w:rsidRDefault="00DC2180" w:rsidP="00927933">
            <w:pPr>
              <w:rPr>
                <w:lang w:val="en-GB"/>
              </w:rPr>
            </w:pPr>
          </w:p>
        </w:tc>
        <w:tc>
          <w:tcPr>
            <w:tcW w:w="851" w:type="dxa"/>
            <w:tcBorders>
              <w:left w:val="single" w:sz="4" w:space="0" w:color="000000"/>
              <w:right w:val="single" w:sz="4" w:space="0" w:color="000000"/>
            </w:tcBorders>
            <w:shd w:val="clear" w:color="auto" w:fill="auto"/>
          </w:tcPr>
          <w:p w14:paraId="271AC2A9" w14:textId="1A8AC577" w:rsidR="00DC2180" w:rsidRPr="00937662" w:rsidRDefault="00DC2180" w:rsidP="00927933"/>
        </w:tc>
        <w:tc>
          <w:tcPr>
            <w:tcW w:w="850" w:type="dxa"/>
            <w:tcBorders>
              <w:left w:val="single" w:sz="4" w:space="0" w:color="000000"/>
              <w:right w:val="single" w:sz="4" w:space="0" w:color="000000"/>
            </w:tcBorders>
            <w:shd w:val="clear" w:color="auto" w:fill="auto"/>
          </w:tcPr>
          <w:p w14:paraId="48AA9B65" w14:textId="60FE658D" w:rsidR="00DC2180" w:rsidRPr="00937662" w:rsidRDefault="00DC2180" w:rsidP="00927933"/>
        </w:tc>
        <w:tc>
          <w:tcPr>
            <w:tcW w:w="794" w:type="dxa"/>
            <w:tcBorders>
              <w:left w:val="single" w:sz="4" w:space="0" w:color="000000"/>
              <w:right w:val="single" w:sz="4" w:space="0" w:color="000000"/>
            </w:tcBorders>
            <w:shd w:val="clear" w:color="auto" w:fill="auto"/>
          </w:tcPr>
          <w:p w14:paraId="54184EE7" w14:textId="77777777" w:rsidR="00DC2180" w:rsidRPr="00937662" w:rsidRDefault="00DC2180" w:rsidP="00927933">
            <w:pPr>
              <w:rPr>
                <w:lang w:val="en-GB"/>
              </w:rPr>
            </w:pPr>
          </w:p>
        </w:tc>
        <w:tc>
          <w:tcPr>
            <w:tcW w:w="810" w:type="dxa"/>
            <w:tcBorders>
              <w:left w:val="single" w:sz="4" w:space="0" w:color="000000"/>
            </w:tcBorders>
            <w:shd w:val="clear" w:color="auto" w:fill="auto"/>
          </w:tcPr>
          <w:p w14:paraId="4397CC42" w14:textId="77777777" w:rsidR="00DC2180" w:rsidRPr="00937662" w:rsidRDefault="00DC2180" w:rsidP="00927933">
            <w:pPr>
              <w:rPr>
                <w:lang w:val="en-GB"/>
              </w:rPr>
            </w:pPr>
          </w:p>
        </w:tc>
        <w:tc>
          <w:tcPr>
            <w:tcW w:w="1085" w:type="dxa"/>
            <w:shd w:val="clear" w:color="auto" w:fill="auto"/>
          </w:tcPr>
          <w:p w14:paraId="3183DFBC" w14:textId="4C227564" w:rsidR="00DC2180" w:rsidRPr="00937662" w:rsidRDefault="00DC2180" w:rsidP="00927933">
            <w:pPr>
              <w:jc w:val="both"/>
            </w:pPr>
          </w:p>
        </w:tc>
        <w:tc>
          <w:tcPr>
            <w:tcW w:w="1345" w:type="dxa"/>
            <w:shd w:val="clear" w:color="auto" w:fill="auto"/>
          </w:tcPr>
          <w:p w14:paraId="2B2B0E62" w14:textId="77777777" w:rsidR="00DC2180" w:rsidRPr="00937662" w:rsidRDefault="00DC2180" w:rsidP="00927933">
            <w:pPr>
              <w:rPr>
                <w:lang w:val="en-GB"/>
              </w:rPr>
            </w:pPr>
          </w:p>
        </w:tc>
      </w:tr>
    </w:tbl>
    <w:p w14:paraId="63A2DD76" w14:textId="77777777" w:rsidR="00D9737F" w:rsidRDefault="00D9737F" w:rsidP="003D019A">
      <w:pPr>
        <w:pStyle w:val="Heading2"/>
      </w:pPr>
    </w:p>
    <w:p w14:paraId="7A16F3CC" w14:textId="77777777" w:rsidR="00D9737F" w:rsidRDefault="00D9737F" w:rsidP="003D019A">
      <w:pPr>
        <w:pStyle w:val="Heading2"/>
      </w:pPr>
    </w:p>
    <w:p w14:paraId="108CD63C" w14:textId="3A169F1B" w:rsidR="006549E0" w:rsidRPr="00937662" w:rsidRDefault="00C92E14" w:rsidP="00466FE1">
      <w:pPr>
        <w:pStyle w:val="Heading2"/>
      </w:pPr>
      <w:r w:rsidRPr="00937662">
        <w:t>Kapitulli 6.2: Krahasimi i tre opsioneve</w:t>
      </w:r>
      <w:bookmarkEnd w:id="26"/>
      <w:bookmarkEnd w:id="27"/>
    </w:p>
    <w:p w14:paraId="4557D8DB" w14:textId="0E1F9BD7" w:rsidR="0042691A" w:rsidRDefault="0042691A" w:rsidP="00E673E6">
      <w:pPr>
        <w:jc w:val="both"/>
      </w:pPr>
      <w:r w:rsidRPr="0042691A">
        <w:t xml:space="preserve">Opsioni 1: Duke pasur parasysh që opsionet janë paraqitur në detaje në Kapitullin 3, kjo pjesë do të trajtojë shkurtimisht përparësitë dhe mangësitë e opsioneve në kontekst. Opsioni "Pa ndryshim" nuk është </w:t>
      </w:r>
      <w:r>
        <w:t>i përshtatshëm për shkaqet e zbrazëtirave të përmendura më lart.</w:t>
      </w:r>
    </w:p>
    <w:p w14:paraId="6249D550" w14:textId="56A70E4F" w:rsidR="0042691A" w:rsidRDefault="0042691A" w:rsidP="00E673E6">
      <w:pPr>
        <w:jc w:val="both"/>
      </w:pPr>
      <w:r w:rsidRPr="0042691A">
        <w:t>Opsioni 2: Veprimet në kuadër të Opsionit 2 janë të pamundura, pasi një pjesë e konsiderueshme e dispozitave të Ligjit</w:t>
      </w:r>
      <w:r>
        <w:t xml:space="preserve"> kërkohen që të ndryshohen dhe si të tilla janë vështirë të trajtohen përmes amendamenteve, me çka rezulton se Opsioni 2 është vështirë i realizueshëm.</w:t>
      </w:r>
      <w:r w:rsidRPr="0042691A">
        <w:t xml:space="preserve"> </w:t>
      </w:r>
    </w:p>
    <w:p w14:paraId="59B92985" w14:textId="7C7766FB" w:rsidR="00C92E14" w:rsidRPr="00937662" w:rsidRDefault="003A53B6" w:rsidP="00F20370">
      <w:pPr>
        <w:jc w:val="both"/>
      </w:pPr>
      <w:r>
        <w:t>O</w:t>
      </w:r>
      <w:r w:rsidR="00C92E14" w:rsidRPr="00937662">
        <w:t xml:space="preserve">psioni </w:t>
      </w:r>
      <w:r>
        <w:t xml:space="preserve">3 </w:t>
      </w:r>
      <w:r w:rsidR="00F20370">
        <w:t>H</w:t>
      </w:r>
      <w:r w:rsidR="00C92E14" w:rsidRPr="00937662">
        <w:t xml:space="preserve">artimi i Ligjit të ri për </w:t>
      </w:r>
      <w:r w:rsidR="00D9737F" w:rsidRPr="00D9737F">
        <w:t xml:space="preserve">Masat </w:t>
      </w:r>
      <w:proofErr w:type="spellStart"/>
      <w:r w:rsidR="00D9737F" w:rsidRPr="00D9737F">
        <w:t>Antidamping</w:t>
      </w:r>
      <w:proofErr w:type="spellEnd"/>
      <w:r w:rsidR="00D9737F" w:rsidRPr="00D9737F">
        <w:t xml:space="preserve"> dhe Masat </w:t>
      </w:r>
      <w:proofErr w:type="spellStart"/>
      <w:r w:rsidR="00D9737F" w:rsidRPr="00D9737F">
        <w:t>Kund</w:t>
      </w:r>
      <w:r w:rsidR="00E2780F">
        <w:t>ë</w:t>
      </w:r>
      <w:r w:rsidR="00D9737F" w:rsidRPr="00D9737F">
        <w:t>rbalancuese</w:t>
      </w:r>
      <w:proofErr w:type="spellEnd"/>
      <w:r w:rsidR="00C92E14" w:rsidRPr="00937662">
        <w:t xml:space="preserve"> </w:t>
      </w:r>
      <w:r w:rsidR="00F20370">
        <w:t xml:space="preserve">do t’i mundësojë industrisë vendore që të jetë më konkurruese, e mbrojtur nga efektet negative të çrregullimit të tregut si dhe më e aftë që </w:t>
      </w:r>
      <w:r w:rsidR="007F0E19">
        <w:t>të</w:t>
      </w:r>
      <w:r w:rsidR="00CF710B">
        <w:t xml:space="preserve"> </w:t>
      </w:r>
      <w:proofErr w:type="spellStart"/>
      <w:r w:rsidR="00CF710B">
        <w:t>avok</w:t>
      </w:r>
      <w:r w:rsidR="00F20370">
        <w:t>ojë</w:t>
      </w:r>
      <w:proofErr w:type="spellEnd"/>
      <w:r w:rsidR="00F20370">
        <w:t xml:space="preserve"> në</w:t>
      </w:r>
      <w:r w:rsidR="00CF710B">
        <w:t xml:space="preserve"> ç</w:t>
      </w:r>
      <w:r w:rsidR="00BE60D9">
        <w:t>ë</w:t>
      </w:r>
      <w:r w:rsidR="00CF710B">
        <w:t>shtje</w:t>
      </w:r>
      <w:r w:rsidR="00F20370">
        <w:t>t</w:t>
      </w:r>
      <w:r w:rsidR="00CF710B">
        <w:t xml:space="preserve"> q</w:t>
      </w:r>
      <w:r w:rsidR="00BE60D9">
        <w:t>ë</w:t>
      </w:r>
      <w:r w:rsidR="00CF710B">
        <w:t xml:space="preserve"> nd</w:t>
      </w:r>
      <w:r w:rsidR="00BE60D9">
        <w:t>ë</w:t>
      </w:r>
      <w:r w:rsidR="00CF710B">
        <w:t>rlidhen me praktikat e padrejta tregtare me rastin e importit t</w:t>
      </w:r>
      <w:r w:rsidR="00BE60D9">
        <w:t>ë</w:t>
      </w:r>
      <w:r w:rsidR="00CF710B">
        <w:t xml:space="preserve"> produkteve apo luftimin e tendencave p</w:t>
      </w:r>
      <w:r w:rsidR="00BE60D9">
        <w:t>ë</w:t>
      </w:r>
      <w:r w:rsidR="00CF710B">
        <w:t>r k</w:t>
      </w:r>
      <w:r w:rsidR="00BE60D9">
        <w:t>ë</w:t>
      </w:r>
      <w:r w:rsidR="00CF710B">
        <w:t>to praktika t</w:t>
      </w:r>
      <w:r w:rsidR="00BE60D9">
        <w:t>ë</w:t>
      </w:r>
      <w:r w:rsidR="00CF710B">
        <w:t xml:space="preserve"> padrejta. </w:t>
      </w:r>
    </w:p>
    <w:p w14:paraId="7FFE5322" w14:textId="77777777" w:rsidR="006549E0" w:rsidRPr="00937662" w:rsidRDefault="006549E0" w:rsidP="006549E0">
      <w:pPr>
        <w:jc w:val="both"/>
      </w:pPr>
    </w:p>
    <w:p w14:paraId="6038349E" w14:textId="51415339" w:rsidR="006549E0" w:rsidRPr="00937662" w:rsidRDefault="006549E0" w:rsidP="006549E0">
      <w:pPr>
        <w:pStyle w:val="Caption"/>
        <w:keepNext/>
        <w:rPr>
          <w:rFonts w:cs="Times New Roman"/>
          <w:color w:val="2E74B5" w:themeColor="accent1" w:themeShade="BF"/>
          <w:sz w:val="24"/>
          <w:szCs w:val="24"/>
        </w:rPr>
      </w:pPr>
      <w:r w:rsidRPr="00937662">
        <w:rPr>
          <w:rFonts w:cs="Times New Roman"/>
          <w:color w:val="2E74B5" w:themeColor="accent1" w:themeShade="BF"/>
          <w:sz w:val="24"/>
          <w:szCs w:val="24"/>
        </w:rPr>
        <w:t xml:space="preserve">Tabela </w:t>
      </w:r>
      <w:r w:rsidR="00A717EE">
        <w:rPr>
          <w:rFonts w:cs="Times New Roman"/>
          <w:color w:val="2E74B5" w:themeColor="accent1" w:themeShade="BF"/>
          <w:sz w:val="24"/>
          <w:szCs w:val="24"/>
        </w:rPr>
        <w:t>9</w:t>
      </w:r>
      <w:r w:rsidRPr="00937662">
        <w:rPr>
          <w:rFonts w:cs="Times New Roman"/>
          <w:color w:val="2E74B5" w:themeColor="accent1" w:themeShade="BF"/>
          <w:sz w:val="24"/>
          <w:szCs w:val="24"/>
        </w:rPr>
        <w:t xml:space="preserve"> Krahasimi i opsioneve</w:t>
      </w:r>
    </w:p>
    <w:tbl>
      <w:tblPr>
        <w:tblStyle w:val="TableGrid2"/>
        <w:tblW w:w="4917" w:type="pct"/>
        <w:jc w:val="center"/>
        <w:tblLook w:val="04A0" w:firstRow="1" w:lastRow="0" w:firstColumn="1" w:lastColumn="0" w:noHBand="0" w:noVBand="1"/>
      </w:tblPr>
      <w:tblGrid>
        <w:gridCol w:w="2086"/>
        <w:gridCol w:w="682"/>
        <w:gridCol w:w="682"/>
        <w:gridCol w:w="797"/>
        <w:gridCol w:w="819"/>
        <w:gridCol w:w="926"/>
        <w:gridCol w:w="928"/>
        <w:gridCol w:w="810"/>
        <w:gridCol w:w="810"/>
        <w:gridCol w:w="832"/>
      </w:tblGrid>
      <w:tr w:rsidR="00C92E14" w:rsidRPr="00937662" w14:paraId="0262679F" w14:textId="77777777" w:rsidTr="00646EBE">
        <w:trPr>
          <w:jc w:val="center"/>
        </w:trPr>
        <w:tc>
          <w:tcPr>
            <w:tcW w:w="1113" w:type="pct"/>
            <w:shd w:val="clear" w:color="auto" w:fill="9CC2E5" w:themeFill="accent1" w:themeFillTint="99"/>
          </w:tcPr>
          <w:p w14:paraId="12657148" w14:textId="77777777" w:rsidR="00C92E14" w:rsidRPr="00937662" w:rsidRDefault="00C92E14" w:rsidP="00C92E14">
            <w:pPr>
              <w:rPr>
                <w:b/>
                <w:lang w:val="en-GB"/>
              </w:rPr>
            </w:pPr>
          </w:p>
        </w:tc>
        <w:tc>
          <w:tcPr>
            <w:tcW w:w="3887" w:type="pct"/>
            <w:gridSpan w:val="9"/>
            <w:shd w:val="clear" w:color="auto" w:fill="9CC2E5" w:themeFill="accent1" w:themeFillTint="99"/>
          </w:tcPr>
          <w:p w14:paraId="58B78F0D" w14:textId="77777777" w:rsidR="00C92E14" w:rsidRPr="00937662" w:rsidRDefault="00C92E14" w:rsidP="00C92E14">
            <w:pPr>
              <w:rPr>
                <w:b/>
              </w:rPr>
            </w:pPr>
            <w:r w:rsidRPr="00937662">
              <w:rPr>
                <w:b/>
              </w:rPr>
              <w:t>Metoda e krahasimit: Analiza shumë-</w:t>
            </w:r>
            <w:proofErr w:type="spellStart"/>
            <w:r w:rsidRPr="00937662">
              <w:rPr>
                <w:b/>
              </w:rPr>
              <w:t>kriterëshe</w:t>
            </w:r>
            <w:proofErr w:type="spellEnd"/>
          </w:p>
          <w:p w14:paraId="14F7D2E5" w14:textId="77777777" w:rsidR="00C92E14" w:rsidRPr="00937662" w:rsidRDefault="00C92E14" w:rsidP="00C92E14">
            <w:pPr>
              <w:rPr>
                <w:lang w:val="en-GB"/>
              </w:rPr>
            </w:pPr>
          </w:p>
        </w:tc>
      </w:tr>
      <w:tr w:rsidR="00C92E14" w:rsidRPr="00937662" w14:paraId="12D46198" w14:textId="77777777" w:rsidTr="00646EBE">
        <w:trPr>
          <w:trHeight w:val="1178"/>
          <w:jc w:val="center"/>
        </w:trPr>
        <w:tc>
          <w:tcPr>
            <w:tcW w:w="1113" w:type="pct"/>
            <w:shd w:val="clear" w:color="auto" w:fill="9CC2E5" w:themeFill="accent1" w:themeFillTint="99"/>
          </w:tcPr>
          <w:p w14:paraId="142DFCBB" w14:textId="77777777" w:rsidR="00C92E14" w:rsidRPr="00937662" w:rsidRDefault="00C92E14" w:rsidP="00C92E14">
            <w:pPr>
              <w:rPr>
                <w:bCs/>
                <w:lang w:val="en-GB"/>
              </w:rPr>
            </w:pPr>
          </w:p>
        </w:tc>
        <w:tc>
          <w:tcPr>
            <w:tcW w:w="1153" w:type="pct"/>
            <w:gridSpan w:val="3"/>
          </w:tcPr>
          <w:p w14:paraId="43454DBB" w14:textId="77777777" w:rsidR="00C92E14" w:rsidRPr="00937662" w:rsidRDefault="00C92E14" w:rsidP="00C92E14">
            <w:pPr>
              <w:rPr>
                <w:b/>
                <w:bCs/>
              </w:rPr>
            </w:pPr>
            <w:r w:rsidRPr="00937662">
              <w:rPr>
                <w:b/>
              </w:rPr>
              <w:t xml:space="preserve">Opsioni 1: </w:t>
            </w:r>
            <w:r w:rsidRPr="00937662">
              <w:t xml:space="preserve">Status </w:t>
            </w:r>
            <w:proofErr w:type="spellStart"/>
            <w:r w:rsidRPr="00937662">
              <w:t>quo</w:t>
            </w:r>
            <w:proofErr w:type="spellEnd"/>
          </w:p>
        </w:tc>
        <w:tc>
          <w:tcPr>
            <w:tcW w:w="1426" w:type="pct"/>
            <w:gridSpan w:val="3"/>
          </w:tcPr>
          <w:p w14:paraId="54C3C777" w14:textId="77777777" w:rsidR="00C92E14" w:rsidRPr="00937662" w:rsidRDefault="00C92E14" w:rsidP="00C92E14">
            <w:r w:rsidRPr="00937662">
              <w:rPr>
                <w:b/>
              </w:rPr>
              <w:t>Opsioni 2:</w:t>
            </w:r>
            <w:r w:rsidRPr="00937662">
              <w:t xml:space="preserve"> Përmirësimi i zbatimit të ligjit ekzistues </w:t>
            </w:r>
          </w:p>
        </w:tc>
        <w:tc>
          <w:tcPr>
            <w:tcW w:w="1308" w:type="pct"/>
            <w:gridSpan w:val="3"/>
          </w:tcPr>
          <w:p w14:paraId="75C7F379" w14:textId="0D28ABDD" w:rsidR="00C92E14" w:rsidRPr="00937662" w:rsidRDefault="00C92E14" w:rsidP="00CF710B">
            <w:r w:rsidRPr="00937662">
              <w:rPr>
                <w:b/>
              </w:rPr>
              <w:t>Opsioni 3:</w:t>
            </w:r>
            <w:r w:rsidRPr="00937662">
              <w:t xml:space="preserve"> Hartimi dhe zbatimi i Ligjit të ri për </w:t>
            </w:r>
            <w:r w:rsidR="00CF710B">
              <w:t xml:space="preserve">masat </w:t>
            </w:r>
            <w:proofErr w:type="spellStart"/>
            <w:r w:rsidR="00CF710B">
              <w:t>antidamping</w:t>
            </w:r>
            <w:proofErr w:type="spellEnd"/>
            <w:r w:rsidR="00CF710B">
              <w:t xml:space="preserve"> dhe masat </w:t>
            </w:r>
            <w:proofErr w:type="spellStart"/>
            <w:r w:rsidR="00CF710B">
              <w:t>kund</w:t>
            </w:r>
            <w:r w:rsidR="00BE60D9">
              <w:t>ë</w:t>
            </w:r>
            <w:r w:rsidR="00CF710B">
              <w:t>rbalancuese</w:t>
            </w:r>
            <w:proofErr w:type="spellEnd"/>
          </w:p>
        </w:tc>
      </w:tr>
      <w:tr w:rsidR="00C92E14" w:rsidRPr="00937662" w14:paraId="058F88EF" w14:textId="77777777" w:rsidTr="00646EBE">
        <w:trPr>
          <w:jc w:val="center"/>
        </w:trPr>
        <w:tc>
          <w:tcPr>
            <w:tcW w:w="1113" w:type="pct"/>
            <w:shd w:val="clear" w:color="auto" w:fill="9CC2E5" w:themeFill="accent1" w:themeFillTint="99"/>
          </w:tcPr>
          <w:p w14:paraId="78B0C8C6" w14:textId="77777777" w:rsidR="00C92E14" w:rsidRPr="00937662" w:rsidRDefault="00C92E14" w:rsidP="00C92E14">
            <w:pPr>
              <w:rPr>
                <w:b/>
              </w:rPr>
            </w:pPr>
            <w:r w:rsidRPr="00937662">
              <w:rPr>
                <w:b/>
              </w:rPr>
              <w:t xml:space="preserve">Kostot përkatëse pozitive </w:t>
            </w:r>
          </w:p>
        </w:tc>
        <w:tc>
          <w:tcPr>
            <w:tcW w:w="1153" w:type="pct"/>
            <w:gridSpan w:val="3"/>
            <w:vAlign w:val="center"/>
          </w:tcPr>
          <w:p w14:paraId="31135BDA" w14:textId="660EC264" w:rsidR="00C92E14" w:rsidRPr="00937662" w:rsidRDefault="00CF710B" w:rsidP="00C92E14">
            <w:r>
              <w:t xml:space="preserve">Tregu i </w:t>
            </w:r>
            <w:proofErr w:type="spellStart"/>
            <w:r>
              <w:t>paq</w:t>
            </w:r>
            <w:r w:rsidR="00BE60D9">
              <w:t>ë</w:t>
            </w:r>
            <w:r>
              <w:t>nd</w:t>
            </w:r>
            <w:r w:rsidR="00BE60D9">
              <w:t>ë</w:t>
            </w:r>
            <w:r>
              <w:t>ruesh</w:t>
            </w:r>
            <w:r w:rsidR="00BE60D9">
              <w:t>ë</w:t>
            </w:r>
            <w:r>
              <w:t>m</w:t>
            </w:r>
            <w:proofErr w:type="spellEnd"/>
            <w:r>
              <w:t xml:space="preserve"> dhe i cenuesh</w:t>
            </w:r>
            <w:r w:rsidR="00BE60D9">
              <w:t>ë</w:t>
            </w:r>
            <w:r>
              <w:t>m nga importi i produkteve t</w:t>
            </w:r>
            <w:r w:rsidR="00BE60D9">
              <w:t>ë</w:t>
            </w:r>
            <w:r>
              <w:t xml:space="preserve"> </w:t>
            </w:r>
            <w:proofErr w:type="spellStart"/>
            <w:r>
              <w:t>dampuara</w:t>
            </w:r>
            <w:proofErr w:type="spellEnd"/>
          </w:p>
        </w:tc>
        <w:tc>
          <w:tcPr>
            <w:tcW w:w="1426" w:type="pct"/>
            <w:gridSpan w:val="3"/>
          </w:tcPr>
          <w:p w14:paraId="4EB780DA" w14:textId="0B0E5E0F" w:rsidR="00C92E14" w:rsidRPr="00937662" w:rsidRDefault="00CF710B" w:rsidP="00E57D0D">
            <w:r>
              <w:t>Aktivitet</w:t>
            </w:r>
            <w:r w:rsidR="00E57D0D">
              <w:t>e</w:t>
            </w:r>
            <w:r>
              <w:t xml:space="preserve"> t</w:t>
            </w:r>
            <w:r w:rsidR="00BE60D9">
              <w:t>ë</w:t>
            </w:r>
            <w:r>
              <w:t xml:space="preserve"> shtuara me q</w:t>
            </w:r>
            <w:r w:rsidR="00BE60D9">
              <w:t>ë</w:t>
            </w:r>
            <w:r>
              <w:t>llim t</w:t>
            </w:r>
            <w:r w:rsidR="00BE60D9">
              <w:t>ë</w:t>
            </w:r>
            <w:r>
              <w:t xml:space="preserve"> mbrojtjes s</w:t>
            </w:r>
            <w:r w:rsidR="00BE60D9">
              <w:t>ë</w:t>
            </w:r>
            <w:r>
              <w:t xml:space="preserve"> tregut si nga institucionet relevante ashtu edhe nga industria vendore </w:t>
            </w:r>
          </w:p>
        </w:tc>
        <w:tc>
          <w:tcPr>
            <w:tcW w:w="1308" w:type="pct"/>
            <w:gridSpan w:val="3"/>
            <w:vAlign w:val="center"/>
          </w:tcPr>
          <w:p w14:paraId="70D7100C" w14:textId="1312AF74" w:rsidR="00C92E14" w:rsidRPr="00937662" w:rsidRDefault="00C92E14" w:rsidP="00E57D0D">
            <w:r w:rsidRPr="00937662">
              <w:t xml:space="preserve">Numri i shtuar i </w:t>
            </w:r>
            <w:r w:rsidR="00E57D0D">
              <w:t>ankesave</w:t>
            </w:r>
            <w:r w:rsidR="00CF710B">
              <w:t xml:space="preserve"> t</w:t>
            </w:r>
            <w:r w:rsidR="00BE60D9">
              <w:t>ë</w:t>
            </w:r>
            <w:r w:rsidR="00CF710B">
              <w:t xml:space="preserve"> paraqitura n</w:t>
            </w:r>
            <w:r w:rsidR="00BE60D9">
              <w:t>ë</w:t>
            </w:r>
            <w:r w:rsidR="00CF710B">
              <w:t xml:space="preserve"> MINT nga prodhuesit vendor.</w:t>
            </w:r>
          </w:p>
        </w:tc>
      </w:tr>
      <w:tr w:rsidR="00C92E14" w:rsidRPr="00937662" w14:paraId="3C513682" w14:textId="77777777" w:rsidTr="00646EBE">
        <w:trPr>
          <w:jc w:val="center"/>
        </w:trPr>
        <w:tc>
          <w:tcPr>
            <w:tcW w:w="1113" w:type="pct"/>
            <w:shd w:val="clear" w:color="auto" w:fill="9CC2E5" w:themeFill="accent1" w:themeFillTint="99"/>
          </w:tcPr>
          <w:p w14:paraId="6E84F3F1" w14:textId="77777777" w:rsidR="00C92E14" w:rsidRPr="00937662" w:rsidRDefault="00C92E14" w:rsidP="00C92E14">
            <w:pPr>
              <w:rPr>
                <w:b/>
                <w:lang w:val="en-GB"/>
              </w:rPr>
            </w:pPr>
          </w:p>
          <w:p w14:paraId="7D8F4A73" w14:textId="77777777" w:rsidR="00C92E14" w:rsidRPr="00937662" w:rsidRDefault="00C92E14" w:rsidP="00C92E14">
            <w:pPr>
              <w:rPr>
                <w:b/>
              </w:rPr>
            </w:pPr>
            <w:r w:rsidRPr="00937662">
              <w:rPr>
                <w:b/>
              </w:rPr>
              <w:t>Kostot përkatëse negative</w:t>
            </w:r>
          </w:p>
        </w:tc>
        <w:tc>
          <w:tcPr>
            <w:tcW w:w="1153" w:type="pct"/>
            <w:gridSpan w:val="3"/>
            <w:vAlign w:val="center"/>
          </w:tcPr>
          <w:p w14:paraId="7D281F2D" w14:textId="4EE1B760" w:rsidR="00C92E14" w:rsidRPr="00937662" w:rsidRDefault="00CF710B" w:rsidP="00C92E14">
            <w:r>
              <w:t>Treg</w:t>
            </w:r>
            <w:r w:rsidRPr="00CF710B">
              <w:t xml:space="preserve"> i paq</w:t>
            </w:r>
            <w:r w:rsidR="00BE60D9">
              <w:t>ë</w:t>
            </w:r>
            <w:r w:rsidRPr="00CF710B">
              <w:t>ndruesh</w:t>
            </w:r>
            <w:r w:rsidR="00BE60D9">
              <w:t>ë</w:t>
            </w:r>
            <w:r w:rsidRPr="00CF710B">
              <w:t>m dhe i cenuesh</w:t>
            </w:r>
            <w:r w:rsidR="00BE60D9">
              <w:t>ë</w:t>
            </w:r>
            <w:r w:rsidRPr="00CF710B">
              <w:t>m nga importi i produkteve t</w:t>
            </w:r>
            <w:r w:rsidR="00BE60D9">
              <w:t>ë</w:t>
            </w:r>
            <w:r w:rsidRPr="00CF710B">
              <w:t xml:space="preserve"> </w:t>
            </w:r>
            <w:proofErr w:type="spellStart"/>
            <w:r w:rsidRPr="00CF710B">
              <w:t>dampuara</w:t>
            </w:r>
            <w:proofErr w:type="spellEnd"/>
          </w:p>
        </w:tc>
        <w:tc>
          <w:tcPr>
            <w:tcW w:w="1426" w:type="pct"/>
            <w:gridSpan w:val="3"/>
            <w:vAlign w:val="center"/>
          </w:tcPr>
          <w:p w14:paraId="0740F5DD" w14:textId="439838B7" w:rsidR="00C92E14" w:rsidRPr="00937662" w:rsidRDefault="00C92E14" w:rsidP="0042691A">
            <w:r w:rsidRPr="00937662">
              <w:t xml:space="preserve">Zbatim më i mirë i Ligjit në krahasim me opsionin e </w:t>
            </w:r>
            <w:r w:rsidRPr="00937662">
              <w:rPr>
                <w:i/>
                <w:iCs/>
              </w:rPr>
              <w:t xml:space="preserve">status </w:t>
            </w:r>
            <w:proofErr w:type="spellStart"/>
            <w:r w:rsidRPr="00937662">
              <w:rPr>
                <w:i/>
                <w:iCs/>
              </w:rPr>
              <w:t>quo</w:t>
            </w:r>
            <w:proofErr w:type="spellEnd"/>
            <w:r w:rsidRPr="00937662">
              <w:t>-së</w:t>
            </w:r>
            <w:r w:rsidR="0042691A">
              <w:t xml:space="preserve"> megjithatë ligji i ndryshuar nuk i plotëson të gjitha mangësitë</w:t>
            </w:r>
            <w:r w:rsidRPr="00937662">
              <w:t xml:space="preserve"> </w:t>
            </w:r>
          </w:p>
        </w:tc>
        <w:tc>
          <w:tcPr>
            <w:tcW w:w="1308" w:type="pct"/>
            <w:gridSpan w:val="3"/>
            <w:vAlign w:val="center"/>
          </w:tcPr>
          <w:p w14:paraId="6224E424" w14:textId="77777777" w:rsidR="00C92E14" w:rsidRPr="00937662" w:rsidRDefault="00C92E14" w:rsidP="00C92E14">
            <w:r w:rsidRPr="00937662">
              <w:t xml:space="preserve">Nuk ka kosto negative. </w:t>
            </w:r>
          </w:p>
        </w:tc>
      </w:tr>
      <w:tr w:rsidR="00C92E14" w:rsidRPr="00937662" w14:paraId="66B45A8F" w14:textId="77777777" w:rsidTr="00646EBE">
        <w:trPr>
          <w:jc w:val="center"/>
        </w:trPr>
        <w:tc>
          <w:tcPr>
            <w:tcW w:w="1113" w:type="pct"/>
            <w:shd w:val="clear" w:color="auto" w:fill="9CC2E5" w:themeFill="accent1" w:themeFillTint="99"/>
          </w:tcPr>
          <w:p w14:paraId="12A4F59E" w14:textId="77777777" w:rsidR="00C92E14" w:rsidRPr="00937662" w:rsidRDefault="00C92E14" w:rsidP="00C92E14">
            <w:pPr>
              <w:rPr>
                <w:b/>
              </w:rPr>
            </w:pPr>
            <w:r w:rsidRPr="00937662">
              <w:rPr>
                <w:b/>
              </w:rPr>
              <w:t xml:space="preserve">Kostot relevante </w:t>
            </w:r>
          </w:p>
        </w:tc>
        <w:tc>
          <w:tcPr>
            <w:tcW w:w="1153" w:type="pct"/>
            <w:gridSpan w:val="3"/>
            <w:vAlign w:val="center"/>
          </w:tcPr>
          <w:p w14:paraId="5D6F6073" w14:textId="77777777" w:rsidR="00C92E14" w:rsidRPr="00937662" w:rsidRDefault="00C92E14" w:rsidP="00C92E14">
            <w:r w:rsidRPr="00937662">
              <w:t xml:space="preserve">Nuk ka kosto shtesë </w:t>
            </w:r>
          </w:p>
        </w:tc>
        <w:tc>
          <w:tcPr>
            <w:tcW w:w="1426" w:type="pct"/>
            <w:gridSpan w:val="3"/>
          </w:tcPr>
          <w:p w14:paraId="2470E9D4" w14:textId="4449C9EC" w:rsidR="00C92E14" w:rsidRPr="00937662" w:rsidRDefault="00C92E14" w:rsidP="00CF710B">
            <w:r w:rsidRPr="00937662">
              <w:t xml:space="preserve">Kostot e kontakteve me publikun dhe të vetëdijesimit </w:t>
            </w:r>
          </w:p>
        </w:tc>
        <w:tc>
          <w:tcPr>
            <w:tcW w:w="1308" w:type="pct"/>
            <w:gridSpan w:val="3"/>
            <w:vAlign w:val="center"/>
          </w:tcPr>
          <w:p w14:paraId="1AC73120" w14:textId="36BB2FE4" w:rsidR="00C92E14" w:rsidRPr="00937662" w:rsidRDefault="00E57D0D" w:rsidP="00C92E14">
            <w:r w:rsidRPr="00E57D0D">
              <w:t>Kostot e kontakteve me publikun dhe të vetëdijesimit</w:t>
            </w:r>
          </w:p>
        </w:tc>
      </w:tr>
      <w:tr w:rsidR="00C92E14" w:rsidRPr="00937662" w14:paraId="3929FCFB" w14:textId="77777777" w:rsidTr="006549E0">
        <w:trPr>
          <w:trHeight w:val="405"/>
          <w:jc w:val="center"/>
        </w:trPr>
        <w:tc>
          <w:tcPr>
            <w:tcW w:w="1113" w:type="pct"/>
            <w:vMerge w:val="restart"/>
            <w:shd w:val="clear" w:color="auto" w:fill="9CC2E5" w:themeFill="accent1" w:themeFillTint="99"/>
          </w:tcPr>
          <w:p w14:paraId="30031A29" w14:textId="77777777" w:rsidR="00C92E14" w:rsidRPr="00937662" w:rsidRDefault="00C92E14" w:rsidP="00C92E14">
            <w:pPr>
              <w:rPr>
                <w:b/>
              </w:rPr>
            </w:pPr>
            <w:r w:rsidRPr="00937662">
              <w:rPr>
                <w:b/>
              </w:rPr>
              <w:t xml:space="preserve">Vlerësimi i ndikimit të </w:t>
            </w:r>
            <w:proofErr w:type="spellStart"/>
            <w:r w:rsidRPr="00937662">
              <w:rPr>
                <w:b/>
              </w:rPr>
              <w:t>të</w:t>
            </w:r>
            <w:proofErr w:type="spellEnd"/>
            <w:r w:rsidRPr="00937662">
              <w:rPr>
                <w:b/>
              </w:rPr>
              <w:t xml:space="preserve"> pritur në buxhet</w:t>
            </w:r>
          </w:p>
        </w:tc>
        <w:tc>
          <w:tcPr>
            <w:tcW w:w="364" w:type="pct"/>
          </w:tcPr>
          <w:p w14:paraId="020F5431" w14:textId="77777777" w:rsidR="00C92E14" w:rsidRPr="00937662" w:rsidRDefault="00C92E14" w:rsidP="00C92E14">
            <w:r w:rsidRPr="00937662">
              <w:t>Viti 1</w:t>
            </w:r>
          </w:p>
        </w:tc>
        <w:tc>
          <w:tcPr>
            <w:tcW w:w="364" w:type="pct"/>
          </w:tcPr>
          <w:p w14:paraId="211D7F3E" w14:textId="77777777" w:rsidR="00C92E14" w:rsidRPr="00937662" w:rsidRDefault="00C92E14" w:rsidP="00C92E14">
            <w:r w:rsidRPr="00937662">
              <w:t>Viti 2</w:t>
            </w:r>
          </w:p>
        </w:tc>
        <w:tc>
          <w:tcPr>
            <w:tcW w:w="425" w:type="pct"/>
          </w:tcPr>
          <w:p w14:paraId="03A74426" w14:textId="77777777" w:rsidR="00C92E14" w:rsidRPr="00937662" w:rsidRDefault="00C92E14" w:rsidP="00C92E14">
            <w:r w:rsidRPr="00937662">
              <w:t>Viti 3</w:t>
            </w:r>
          </w:p>
        </w:tc>
        <w:tc>
          <w:tcPr>
            <w:tcW w:w="437" w:type="pct"/>
          </w:tcPr>
          <w:p w14:paraId="42EE0905" w14:textId="77777777" w:rsidR="00C92E14" w:rsidRPr="00937662" w:rsidRDefault="00C92E14" w:rsidP="00C92E14">
            <w:r w:rsidRPr="00937662">
              <w:t xml:space="preserve">Viti </w:t>
            </w:r>
          </w:p>
          <w:p w14:paraId="40DCECE4" w14:textId="77777777" w:rsidR="00C92E14" w:rsidRPr="00937662" w:rsidRDefault="00C92E14" w:rsidP="00C92E14">
            <w:r w:rsidRPr="00937662">
              <w:t>1</w:t>
            </w:r>
          </w:p>
        </w:tc>
        <w:tc>
          <w:tcPr>
            <w:tcW w:w="494" w:type="pct"/>
          </w:tcPr>
          <w:p w14:paraId="7678CC21" w14:textId="77777777" w:rsidR="00C92E14" w:rsidRPr="00937662" w:rsidRDefault="00C92E14" w:rsidP="00C92E14">
            <w:r w:rsidRPr="00937662">
              <w:t xml:space="preserve">Viti </w:t>
            </w:r>
          </w:p>
          <w:p w14:paraId="133BFE02" w14:textId="77777777" w:rsidR="00C92E14" w:rsidRPr="00937662" w:rsidRDefault="00C92E14" w:rsidP="00C92E14">
            <w:r w:rsidRPr="00937662">
              <w:t>2</w:t>
            </w:r>
          </w:p>
        </w:tc>
        <w:tc>
          <w:tcPr>
            <w:tcW w:w="495" w:type="pct"/>
          </w:tcPr>
          <w:p w14:paraId="7F8C5B7A" w14:textId="77777777" w:rsidR="00C92E14" w:rsidRPr="00937662" w:rsidRDefault="00C92E14" w:rsidP="00C92E14">
            <w:r w:rsidRPr="00937662">
              <w:t xml:space="preserve">Viti </w:t>
            </w:r>
          </w:p>
          <w:p w14:paraId="469E65D5" w14:textId="77777777" w:rsidR="00C92E14" w:rsidRPr="00937662" w:rsidRDefault="00C92E14" w:rsidP="00C92E14">
            <w:r w:rsidRPr="00937662">
              <w:t xml:space="preserve">3 </w:t>
            </w:r>
          </w:p>
        </w:tc>
        <w:tc>
          <w:tcPr>
            <w:tcW w:w="432" w:type="pct"/>
          </w:tcPr>
          <w:p w14:paraId="45B588CD" w14:textId="77777777" w:rsidR="00C92E14" w:rsidRPr="00937662" w:rsidRDefault="00C92E14" w:rsidP="00C92E14">
            <w:r w:rsidRPr="00937662">
              <w:t>Viti 1</w:t>
            </w:r>
          </w:p>
        </w:tc>
        <w:tc>
          <w:tcPr>
            <w:tcW w:w="432" w:type="pct"/>
          </w:tcPr>
          <w:p w14:paraId="604DF3F1" w14:textId="77777777" w:rsidR="00C92E14" w:rsidRPr="00937662" w:rsidRDefault="00C92E14" w:rsidP="00C92E14">
            <w:r w:rsidRPr="00937662">
              <w:t>Viti 2</w:t>
            </w:r>
          </w:p>
        </w:tc>
        <w:tc>
          <w:tcPr>
            <w:tcW w:w="444" w:type="pct"/>
          </w:tcPr>
          <w:p w14:paraId="29944BBB" w14:textId="77777777" w:rsidR="00C92E14" w:rsidRPr="00937662" w:rsidRDefault="00C92E14" w:rsidP="00C92E14">
            <w:r w:rsidRPr="00937662">
              <w:t>Viti 3</w:t>
            </w:r>
          </w:p>
        </w:tc>
      </w:tr>
      <w:tr w:rsidR="00C92E14" w:rsidRPr="00937662" w14:paraId="704295E1" w14:textId="77777777" w:rsidTr="006549E0">
        <w:trPr>
          <w:trHeight w:val="449"/>
          <w:jc w:val="center"/>
        </w:trPr>
        <w:tc>
          <w:tcPr>
            <w:tcW w:w="1113" w:type="pct"/>
            <w:vMerge/>
            <w:shd w:val="clear" w:color="auto" w:fill="9CC2E5" w:themeFill="accent1" w:themeFillTint="99"/>
          </w:tcPr>
          <w:p w14:paraId="1ADAFDEE" w14:textId="77777777" w:rsidR="00C92E14" w:rsidRPr="00937662" w:rsidRDefault="00C92E14" w:rsidP="00C92E14">
            <w:pPr>
              <w:rPr>
                <w:b/>
                <w:lang w:val="en-GB"/>
              </w:rPr>
            </w:pPr>
          </w:p>
        </w:tc>
        <w:tc>
          <w:tcPr>
            <w:tcW w:w="364" w:type="pct"/>
          </w:tcPr>
          <w:p w14:paraId="5E4C57A5" w14:textId="77777777" w:rsidR="00C92E14" w:rsidRPr="00937662" w:rsidRDefault="00C92E14" w:rsidP="00C92E14">
            <w:pPr>
              <w:rPr>
                <w:lang w:val="en-GB"/>
              </w:rPr>
            </w:pPr>
          </w:p>
        </w:tc>
        <w:tc>
          <w:tcPr>
            <w:tcW w:w="364" w:type="pct"/>
          </w:tcPr>
          <w:p w14:paraId="31CB3A05" w14:textId="77777777" w:rsidR="00C92E14" w:rsidRPr="00937662" w:rsidRDefault="00C92E14" w:rsidP="00C92E14">
            <w:pPr>
              <w:rPr>
                <w:lang w:val="en-GB"/>
              </w:rPr>
            </w:pPr>
          </w:p>
        </w:tc>
        <w:tc>
          <w:tcPr>
            <w:tcW w:w="425" w:type="pct"/>
          </w:tcPr>
          <w:p w14:paraId="5C7DACEE" w14:textId="77777777" w:rsidR="00C92E14" w:rsidRPr="00937662" w:rsidRDefault="00C92E14" w:rsidP="00C92E14">
            <w:pPr>
              <w:rPr>
                <w:lang w:val="en-GB"/>
              </w:rPr>
            </w:pPr>
          </w:p>
        </w:tc>
        <w:tc>
          <w:tcPr>
            <w:tcW w:w="437" w:type="pct"/>
          </w:tcPr>
          <w:p w14:paraId="5C5FFB81" w14:textId="77777777" w:rsidR="00C92E14" w:rsidRPr="00937662" w:rsidRDefault="00C92E14" w:rsidP="00C92E14">
            <w:pPr>
              <w:rPr>
                <w:lang w:val="en-GB"/>
              </w:rPr>
            </w:pPr>
          </w:p>
        </w:tc>
        <w:tc>
          <w:tcPr>
            <w:tcW w:w="494" w:type="pct"/>
          </w:tcPr>
          <w:p w14:paraId="694063EB" w14:textId="77777777" w:rsidR="00C92E14" w:rsidRPr="00937662" w:rsidRDefault="00C92E14" w:rsidP="00C92E14">
            <w:pPr>
              <w:rPr>
                <w:lang w:val="en-GB"/>
              </w:rPr>
            </w:pPr>
          </w:p>
        </w:tc>
        <w:tc>
          <w:tcPr>
            <w:tcW w:w="495" w:type="pct"/>
          </w:tcPr>
          <w:p w14:paraId="66462954" w14:textId="77777777" w:rsidR="00C92E14" w:rsidRPr="00937662" w:rsidRDefault="00C92E14" w:rsidP="00C92E14">
            <w:pPr>
              <w:rPr>
                <w:lang w:val="en-GB"/>
              </w:rPr>
            </w:pPr>
          </w:p>
        </w:tc>
        <w:tc>
          <w:tcPr>
            <w:tcW w:w="432" w:type="pct"/>
          </w:tcPr>
          <w:p w14:paraId="2CAC5821" w14:textId="77777777" w:rsidR="00C92E14" w:rsidRPr="00937662" w:rsidRDefault="00C92E14" w:rsidP="00C92E14">
            <w:pPr>
              <w:rPr>
                <w:lang w:val="en-GB"/>
              </w:rPr>
            </w:pPr>
          </w:p>
        </w:tc>
        <w:tc>
          <w:tcPr>
            <w:tcW w:w="432" w:type="pct"/>
          </w:tcPr>
          <w:p w14:paraId="6ABDB0F1" w14:textId="77777777" w:rsidR="00C92E14" w:rsidRPr="00937662" w:rsidRDefault="00C92E14" w:rsidP="00C92E14">
            <w:pPr>
              <w:rPr>
                <w:lang w:val="en-GB"/>
              </w:rPr>
            </w:pPr>
          </w:p>
        </w:tc>
        <w:tc>
          <w:tcPr>
            <w:tcW w:w="444" w:type="pct"/>
          </w:tcPr>
          <w:p w14:paraId="0A3A0E48" w14:textId="77777777" w:rsidR="00C92E14" w:rsidRPr="00937662" w:rsidRDefault="00C92E14" w:rsidP="00C92E14">
            <w:pPr>
              <w:rPr>
                <w:lang w:val="en-GB"/>
              </w:rPr>
            </w:pPr>
          </w:p>
        </w:tc>
      </w:tr>
      <w:tr w:rsidR="00C92E14" w:rsidRPr="00937662" w14:paraId="2581712D" w14:textId="77777777" w:rsidTr="00646EBE">
        <w:trPr>
          <w:jc w:val="center"/>
        </w:trPr>
        <w:tc>
          <w:tcPr>
            <w:tcW w:w="1113" w:type="pct"/>
            <w:shd w:val="clear" w:color="auto" w:fill="9CC2E5" w:themeFill="accent1" w:themeFillTint="99"/>
          </w:tcPr>
          <w:p w14:paraId="457CBBA5" w14:textId="77777777" w:rsidR="00C92E14" w:rsidRPr="00937662" w:rsidRDefault="00C92E14" w:rsidP="00C92E14">
            <w:pPr>
              <w:rPr>
                <w:b/>
              </w:rPr>
            </w:pPr>
            <w:r w:rsidRPr="00937662">
              <w:rPr>
                <w:b/>
              </w:rPr>
              <w:t xml:space="preserve">Përfundim </w:t>
            </w:r>
          </w:p>
        </w:tc>
        <w:tc>
          <w:tcPr>
            <w:tcW w:w="1153" w:type="pct"/>
            <w:gridSpan w:val="3"/>
          </w:tcPr>
          <w:p w14:paraId="5D3779CA" w14:textId="77777777" w:rsidR="00C92E14" w:rsidRPr="00937662" w:rsidRDefault="00C92E14" w:rsidP="00C92E14">
            <w:r w:rsidRPr="00937662">
              <w:t>Nuk ka përfitime</w:t>
            </w:r>
          </w:p>
        </w:tc>
        <w:tc>
          <w:tcPr>
            <w:tcW w:w="1426" w:type="pct"/>
            <w:gridSpan w:val="3"/>
          </w:tcPr>
          <w:p w14:paraId="344813D9" w14:textId="77777777" w:rsidR="00C92E14" w:rsidRPr="00937662" w:rsidRDefault="00C92E14" w:rsidP="00C92E14">
            <w:r w:rsidRPr="00937662">
              <w:t>Ofron përfitime të lehta pozitive me kosto më të madhe</w:t>
            </w:r>
          </w:p>
        </w:tc>
        <w:tc>
          <w:tcPr>
            <w:tcW w:w="1308" w:type="pct"/>
            <w:gridSpan w:val="3"/>
          </w:tcPr>
          <w:p w14:paraId="4C2E4106" w14:textId="77777777" w:rsidR="00C92E14" w:rsidRPr="00937662" w:rsidRDefault="00C92E14" w:rsidP="00C92E14">
            <w:r w:rsidRPr="00937662">
              <w:t xml:space="preserve">Ofron përfitime madhore me kosto adekuate  </w:t>
            </w:r>
          </w:p>
        </w:tc>
      </w:tr>
    </w:tbl>
    <w:p w14:paraId="29CB8B64" w14:textId="3D96D132" w:rsidR="00C92E14" w:rsidRPr="00937662" w:rsidRDefault="00C92E14" w:rsidP="00C92E14"/>
    <w:p w14:paraId="5D8650C8" w14:textId="2FB769DF" w:rsidR="00C92E14" w:rsidRPr="00937662" w:rsidRDefault="00C92E14" w:rsidP="00466FE1">
      <w:pPr>
        <w:pStyle w:val="Heading1"/>
        <w:rPr>
          <w:lang w:val="en-GB"/>
        </w:rPr>
      </w:pPr>
      <w:bookmarkStart w:id="28" w:name="_Toc514076405"/>
      <w:bookmarkStart w:id="29" w:name="_Toc66089566"/>
      <w:bookmarkStart w:id="30" w:name="_Toc69198233"/>
      <w:r w:rsidRPr="00937662">
        <w:rPr>
          <w:rFonts w:ascii="Times New Roman" w:hAnsi="Times New Roman" w:cs="Times New Roman"/>
          <w:b/>
          <w:color w:val="5B9BD5" w:themeColor="accent1"/>
        </w:rPr>
        <w:t>Kapitulli 7: Përfundimi dhe hapat e ardhshëm</w:t>
      </w:r>
      <w:bookmarkEnd w:id="28"/>
      <w:bookmarkEnd w:id="29"/>
      <w:bookmarkEnd w:id="30"/>
    </w:p>
    <w:p w14:paraId="04D5E041" w14:textId="0D37CE28" w:rsidR="00C92E14" w:rsidRPr="00937662" w:rsidRDefault="00C92E14" w:rsidP="00E673E6">
      <w:pPr>
        <w:jc w:val="both"/>
      </w:pPr>
      <w:r w:rsidRPr="00937662">
        <w:t>Ministria e</w:t>
      </w:r>
      <w:r w:rsidR="006549E0" w:rsidRPr="00937662">
        <w:t xml:space="preserve"> Industrisë</w:t>
      </w:r>
      <w:r w:rsidR="00374A9B" w:rsidRPr="00937662">
        <w:t>,</w:t>
      </w:r>
      <w:r w:rsidR="006549E0" w:rsidRPr="00937662">
        <w:t xml:space="preserve"> </w:t>
      </w:r>
      <w:proofErr w:type="spellStart"/>
      <w:r w:rsidR="006549E0" w:rsidRPr="00937662">
        <w:t>Ndërmarrësisë</w:t>
      </w:r>
      <w:proofErr w:type="spellEnd"/>
      <w:r w:rsidR="006549E0" w:rsidRPr="00937662">
        <w:t xml:space="preserve"> dhe</w:t>
      </w:r>
      <w:r w:rsidRPr="00937662">
        <w:t xml:space="preserve"> Tregtisë, si sponsor i këtij Koncept Dokumenti, i rekomandon Qeverisë së Republikës së Kosovës të miratojë </w:t>
      </w:r>
      <w:r w:rsidR="008038D7">
        <w:t xml:space="preserve">këtë Koncept Dokument i cili ka </w:t>
      </w:r>
      <w:r w:rsidR="0075778F">
        <w:t xml:space="preserve">zgjedhur </w:t>
      </w:r>
      <w:r w:rsidRPr="00937662">
        <w:t xml:space="preserve">Opsionin </w:t>
      </w:r>
      <w:r w:rsidRPr="00466FE1">
        <w:t>3</w:t>
      </w:r>
      <w:r w:rsidRPr="00937662">
        <w:t xml:space="preserve">, </w:t>
      </w:r>
      <w:r w:rsidR="00B161FB">
        <w:t xml:space="preserve">qe </w:t>
      </w:r>
      <w:r w:rsidRPr="00937662">
        <w:t xml:space="preserve">propozon hartimin e </w:t>
      </w:r>
      <w:r w:rsidR="0075778F">
        <w:t>l</w:t>
      </w:r>
      <w:r w:rsidRPr="00937662">
        <w:t>igjit të ri</w:t>
      </w:r>
      <w:r w:rsidR="00E57D0D">
        <w:t xml:space="preserve"> </w:t>
      </w:r>
      <w:r w:rsidRPr="00937662">
        <w:t xml:space="preserve">për </w:t>
      </w:r>
      <w:r w:rsidR="0075778F">
        <w:t>m</w:t>
      </w:r>
      <w:r w:rsidR="00D9737F">
        <w:t xml:space="preserve">asat </w:t>
      </w:r>
      <w:proofErr w:type="spellStart"/>
      <w:r w:rsidR="0075778F">
        <w:t>a</w:t>
      </w:r>
      <w:r w:rsidR="00D9737F">
        <w:t>ntidamping</w:t>
      </w:r>
      <w:proofErr w:type="spellEnd"/>
      <w:r w:rsidR="00D9737F">
        <w:t xml:space="preserve"> dhe </w:t>
      </w:r>
      <w:r w:rsidR="0075778F">
        <w:t>m</w:t>
      </w:r>
      <w:r w:rsidR="00D9737F">
        <w:t xml:space="preserve">asat </w:t>
      </w:r>
      <w:proofErr w:type="spellStart"/>
      <w:r w:rsidR="0075778F">
        <w:t>k</w:t>
      </w:r>
      <w:r w:rsidR="00D9737F">
        <w:t>und</w:t>
      </w:r>
      <w:r w:rsidR="00E2780F">
        <w:t>ë</w:t>
      </w:r>
      <w:r w:rsidR="00D9737F">
        <w:t>rbalancuese</w:t>
      </w:r>
      <w:proofErr w:type="spellEnd"/>
      <w:r w:rsidRPr="00937662">
        <w:t xml:space="preserve"> në përputh</w:t>
      </w:r>
      <w:r w:rsidR="00795A6A">
        <w:t>je me fushëveprimin e analizës s</w:t>
      </w:r>
      <w:r w:rsidRPr="00937662">
        <w:t>ë par</w:t>
      </w:r>
      <w:r w:rsidR="00795A6A">
        <w:t>aqitur në këtë Koncept Dokument.</w:t>
      </w:r>
    </w:p>
    <w:p w14:paraId="17338916" w14:textId="1BAB48D4" w:rsidR="00C92E14" w:rsidRPr="00937662" w:rsidRDefault="0099495C" w:rsidP="00E673E6">
      <w:pPr>
        <w:jc w:val="both"/>
      </w:pPr>
      <w:r w:rsidRPr="00937662">
        <w:t>N</w:t>
      </w:r>
      <w:r w:rsidR="00C92E14" w:rsidRPr="00937662">
        <w:t>drys</w:t>
      </w:r>
      <w:r w:rsidR="00E57D0D">
        <w:t>himet që propozohen me Opsionin</w:t>
      </w:r>
      <w:r w:rsidR="00795A6A">
        <w:t xml:space="preserve"> </w:t>
      </w:r>
      <w:r w:rsidR="00C92E14" w:rsidRPr="00937662">
        <w:t xml:space="preserve">3, </w:t>
      </w:r>
      <w:r w:rsidR="0075778F">
        <w:t>l</w:t>
      </w:r>
      <w:r w:rsidR="00C92E14" w:rsidRPr="00937662">
        <w:t xml:space="preserve">igji për </w:t>
      </w:r>
      <w:proofErr w:type="spellStart"/>
      <w:r w:rsidR="00D9737F" w:rsidRPr="00D9737F">
        <w:t>asat</w:t>
      </w:r>
      <w:proofErr w:type="spellEnd"/>
      <w:r w:rsidR="00D9737F" w:rsidRPr="00D9737F">
        <w:t xml:space="preserve"> </w:t>
      </w:r>
      <w:proofErr w:type="spellStart"/>
      <w:r w:rsidR="0075778F">
        <w:t>a</w:t>
      </w:r>
      <w:r w:rsidR="00D9737F" w:rsidRPr="00D9737F">
        <w:t>ntidamping</w:t>
      </w:r>
      <w:proofErr w:type="spellEnd"/>
      <w:r w:rsidR="00D9737F" w:rsidRPr="00D9737F">
        <w:t xml:space="preserve"> dhe </w:t>
      </w:r>
      <w:r w:rsidR="0075778F">
        <w:t>m</w:t>
      </w:r>
      <w:r w:rsidR="00D9737F" w:rsidRPr="00D9737F">
        <w:t xml:space="preserve">asat </w:t>
      </w:r>
      <w:proofErr w:type="spellStart"/>
      <w:r w:rsidR="0075778F">
        <w:t>k</w:t>
      </w:r>
      <w:r w:rsidR="00D9737F" w:rsidRPr="00D9737F">
        <w:t>und</w:t>
      </w:r>
      <w:r w:rsidR="00E2780F">
        <w:t>ë</w:t>
      </w:r>
      <w:r w:rsidR="00D9737F" w:rsidRPr="00D9737F">
        <w:t>rbalancuese</w:t>
      </w:r>
      <w:proofErr w:type="spellEnd"/>
      <w:r w:rsidR="00C92E14" w:rsidRPr="00937662">
        <w:t xml:space="preserve"> do të shërbej</w:t>
      </w:r>
      <w:r w:rsidR="00B161FB">
        <w:t>n</w:t>
      </w:r>
      <w:r w:rsidR="00C92E14" w:rsidRPr="00937662">
        <w:t>ë si një nxitës</w:t>
      </w:r>
      <w:r w:rsidR="00B161FB">
        <w:t xml:space="preserve"> dhe</w:t>
      </w:r>
      <w:r w:rsidR="00C92E14" w:rsidRPr="00937662">
        <w:t xml:space="preserve"> një mjet më efektiv për të rritur nivelin e </w:t>
      </w:r>
      <w:r w:rsidR="00795A6A">
        <w:t>mbrojtjes s</w:t>
      </w:r>
      <w:r w:rsidR="00BE60D9">
        <w:t>ë</w:t>
      </w:r>
      <w:r w:rsidR="00795A6A">
        <w:t xml:space="preserve"> tregut</w:t>
      </w:r>
      <w:r w:rsidR="00C92E14" w:rsidRPr="00937662">
        <w:t xml:space="preserve">. Ligji </w:t>
      </w:r>
      <w:r w:rsidR="00795A6A">
        <w:t xml:space="preserve">do </w:t>
      </w:r>
      <w:r w:rsidR="00C92E14" w:rsidRPr="00937662">
        <w:t>të krijojë mjedis më të</w:t>
      </w:r>
      <w:r w:rsidR="00B161FB">
        <w:t xml:space="preserve"> </w:t>
      </w:r>
      <w:proofErr w:type="spellStart"/>
      <w:r w:rsidR="00B161FB">
        <w:t>favorshem</w:t>
      </w:r>
      <w:proofErr w:type="spellEnd"/>
      <w:r w:rsidR="00B161FB">
        <w:t xml:space="preserve"> </w:t>
      </w:r>
      <w:r w:rsidR="00C92E14" w:rsidRPr="00937662">
        <w:t xml:space="preserve"> </w:t>
      </w:r>
      <w:r w:rsidR="00BE60D9">
        <w:t>për të mbajtur nën vëzh</w:t>
      </w:r>
      <w:r w:rsidR="00F12158">
        <w:t>g</w:t>
      </w:r>
      <w:r w:rsidR="00BE60D9">
        <w:t xml:space="preserve">im importet e dyshimta </w:t>
      </w:r>
      <w:r w:rsidR="00C92E14" w:rsidRPr="00937662">
        <w:t xml:space="preserve">dhe për të krijuar kushte të barabarta për të gjithë </w:t>
      </w:r>
      <w:proofErr w:type="spellStart"/>
      <w:r w:rsidR="00795A6A">
        <w:t>akter</w:t>
      </w:r>
      <w:r w:rsidR="00BE60D9">
        <w:t>ë</w:t>
      </w:r>
      <w:r w:rsidR="00795A6A">
        <w:t>t</w:t>
      </w:r>
      <w:proofErr w:type="spellEnd"/>
      <w:r w:rsidR="00795A6A">
        <w:t xml:space="preserve"> n</w:t>
      </w:r>
      <w:r w:rsidR="00BE60D9">
        <w:t>ë</w:t>
      </w:r>
      <w:r w:rsidR="00795A6A">
        <w:t xml:space="preserve"> treg</w:t>
      </w:r>
      <w:r w:rsidR="00C92E14" w:rsidRPr="00937662">
        <w:t>, të cilët</w:t>
      </w:r>
      <w:r w:rsidR="00795A6A">
        <w:t xml:space="preserve"> duhet të</w:t>
      </w:r>
      <w:r w:rsidR="00C92E14" w:rsidRPr="00937662">
        <w:t xml:space="preserve"> ndjekin rregullat elementare </w:t>
      </w:r>
      <w:r w:rsidR="00BB6A96">
        <w:t xml:space="preserve">me qëllim që mos të ketë shtrembërime në </w:t>
      </w:r>
      <w:r w:rsidR="00795A6A">
        <w:t>treg</w:t>
      </w:r>
      <w:r w:rsidR="00C92E14" w:rsidRPr="00937662">
        <w:t>.</w:t>
      </w:r>
    </w:p>
    <w:p w14:paraId="4A360356" w14:textId="49C227E4" w:rsidR="00C92E14" w:rsidRPr="00937662" w:rsidRDefault="00C92E14" w:rsidP="00E673E6">
      <w:pPr>
        <w:jc w:val="both"/>
      </w:pPr>
      <w:r w:rsidRPr="00937662">
        <w:t xml:space="preserve">Pas miratimit të Opsionit </w:t>
      </w:r>
      <w:r w:rsidRPr="00466FE1">
        <w:t>3 të</w:t>
      </w:r>
      <w:r w:rsidRPr="00937662">
        <w:t xml:space="preserve"> këtij Koncept Dokumenti, Ministria e </w:t>
      </w:r>
      <w:r w:rsidR="00795A6A" w:rsidRPr="00795A6A">
        <w:t xml:space="preserve">Industrisë, </w:t>
      </w:r>
      <w:proofErr w:type="spellStart"/>
      <w:r w:rsidR="00795A6A" w:rsidRPr="00795A6A">
        <w:t>Ndërmarrësisë</w:t>
      </w:r>
      <w:proofErr w:type="spellEnd"/>
      <w:r w:rsidR="00795A6A" w:rsidRPr="00795A6A">
        <w:t xml:space="preserve"> dhe Tregtisë </w:t>
      </w:r>
      <w:r w:rsidRPr="00937662">
        <w:t>do të ndërmarrë procedurat e nevojshme për të hartuar ligjin, në përputhje me parimet e propozuara.</w:t>
      </w:r>
    </w:p>
    <w:p w14:paraId="152AC8D8" w14:textId="1D3B6987" w:rsidR="00C92E14" w:rsidRPr="00937662" w:rsidRDefault="00C92E14" w:rsidP="003D019A">
      <w:pPr>
        <w:pStyle w:val="Heading2"/>
      </w:pPr>
      <w:bookmarkStart w:id="31" w:name="_Toc514076406"/>
      <w:bookmarkStart w:id="32" w:name="_Toc66089567"/>
      <w:bookmarkStart w:id="33" w:name="_Toc69198234"/>
      <w:r w:rsidRPr="00937662">
        <w:lastRenderedPageBreak/>
        <w:t>Kapitulli 7.1: Dispozitat për monitorim dhe vlerësim</w:t>
      </w:r>
      <w:bookmarkEnd w:id="31"/>
      <w:bookmarkEnd w:id="32"/>
      <w:bookmarkEnd w:id="33"/>
    </w:p>
    <w:p w14:paraId="19AB4BAA" w14:textId="609144DF" w:rsidR="00C96F43" w:rsidRDefault="00C92E14" w:rsidP="00E673E6">
      <w:pPr>
        <w:jc w:val="both"/>
      </w:pPr>
      <w:r w:rsidRPr="00937662">
        <w:t xml:space="preserve">Pas miratimit të Koncept Dokumentit, ligji për </w:t>
      </w:r>
      <w:r w:rsidR="0075778F">
        <w:t>m</w:t>
      </w:r>
      <w:r w:rsidR="00D9737F" w:rsidRPr="00D9737F">
        <w:t xml:space="preserve">asat </w:t>
      </w:r>
      <w:proofErr w:type="spellStart"/>
      <w:r w:rsidR="0075778F">
        <w:t>a</w:t>
      </w:r>
      <w:r w:rsidR="00D9737F" w:rsidRPr="00D9737F">
        <w:t>ntidamping</w:t>
      </w:r>
      <w:proofErr w:type="spellEnd"/>
      <w:r w:rsidR="00D9737F" w:rsidRPr="00D9737F">
        <w:t xml:space="preserve"> dhe </w:t>
      </w:r>
      <w:r w:rsidR="0075778F">
        <w:t>m</w:t>
      </w:r>
      <w:r w:rsidR="00D9737F" w:rsidRPr="00D9737F">
        <w:t xml:space="preserve">asat </w:t>
      </w:r>
      <w:proofErr w:type="spellStart"/>
      <w:r w:rsidR="0075778F">
        <w:t>k</w:t>
      </w:r>
      <w:r w:rsidR="00D9737F" w:rsidRPr="00D9737F">
        <w:t>und</w:t>
      </w:r>
      <w:r w:rsidR="00E2780F">
        <w:t>ë</w:t>
      </w:r>
      <w:r w:rsidR="00D9737F" w:rsidRPr="00D9737F">
        <w:t>rbalancuese</w:t>
      </w:r>
      <w:proofErr w:type="spellEnd"/>
      <w:r w:rsidRPr="00937662">
        <w:t xml:space="preserve"> pritet të miratohet nga Kuvendi i </w:t>
      </w:r>
      <w:r w:rsidR="0075778F">
        <w:t xml:space="preserve">Republikës së </w:t>
      </w:r>
      <w:r w:rsidRPr="00937662">
        <w:t>Kosovës deri në fund të vitit 202</w:t>
      </w:r>
      <w:r w:rsidR="00D9737F">
        <w:t>5</w:t>
      </w:r>
      <w:r w:rsidRPr="00937662">
        <w:t xml:space="preserve">. Ligji i ri do t’ua bëjë më të lehtë </w:t>
      </w:r>
      <w:r w:rsidR="0075778F">
        <w:t>i</w:t>
      </w:r>
      <w:r w:rsidR="00795A6A">
        <w:t>ndustrisë vendore t</w:t>
      </w:r>
      <w:r w:rsidR="00BE60D9">
        <w:t>ë</w:t>
      </w:r>
      <w:r w:rsidR="00795A6A">
        <w:t xml:space="preserve"> cil</w:t>
      </w:r>
      <w:r w:rsidR="00BE60D9">
        <w:t>ë</w:t>
      </w:r>
      <w:r w:rsidR="00795A6A">
        <w:t>t operojn</w:t>
      </w:r>
      <w:r w:rsidR="00BE60D9">
        <w:t>ë</w:t>
      </w:r>
      <w:r w:rsidR="00795A6A">
        <w:t xml:space="preserve"> n</w:t>
      </w:r>
      <w:r w:rsidR="00BE60D9">
        <w:t>ë</w:t>
      </w:r>
      <w:r w:rsidR="00795A6A">
        <w:t xml:space="preserve"> p</w:t>
      </w:r>
      <w:r w:rsidR="00BE60D9">
        <w:t>ë</w:t>
      </w:r>
      <w:r w:rsidR="00795A6A">
        <w:t>rputhje me kriteret ligjore n</w:t>
      </w:r>
      <w:r w:rsidR="00BE60D9">
        <w:t>ë</w:t>
      </w:r>
      <w:r w:rsidR="00795A6A">
        <w:t xml:space="preserve"> Kosovë ku fokusi dhe preokupimi i tyre i vet</w:t>
      </w:r>
      <w:r w:rsidR="00BE60D9">
        <w:t>ë</w:t>
      </w:r>
      <w:r w:rsidR="00795A6A">
        <w:t>m</w:t>
      </w:r>
      <w:r w:rsidR="00BE60D9">
        <w:t xml:space="preserve"> do të jetë</w:t>
      </w:r>
      <w:r w:rsidR="00795A6A">
        <w:t xml:space="preserve"> rritj</w:t>
      </w:r>
      <w:r w:rsidR="00BE60D9">
        <w:t>a</w:t>
      </w:r>
      <w:r w:rsidR="00795A6A">
        <w:t xml:space="preserve"> e cil</w:t>
      </w:r>
      <w:r w:rsidR="00BE60D9">
        <w:t>ë</w:t>
      </w:r>
      <w:r w:rsidR="00795A6A">
        <w:t>sis</w:t>
      </w:r>
      <w:r w:rsidR="00BE60D9">
        <w:t>ë</w:t>
      </w:r>
      <w:r w:rsidR="00795A6A">
        <w:t xml:space="preserve"> s</w:t>
      </w:r>
      <w:r w:rsidR="00BE60D9">
        <w:t>ë</w:t>
      </w:r>
      <w:r w:rsidR="00795A6A">
        <w:t xml:space="preserve"> produkteve. </w:t>
      </w:r>
      <w:r w:rsidRPr="00BE60D9">
        <w:t xml:space="preserve">Duke pasur parasysh që qëllimi i </w:t>
      </w:r>
      <w:r w:rsidR="00446C7D">
        <w:t>ligjit të ri</w:t>
      </w:r>
      <w:r w:rsidRPr="00BE60D9">
        <w:t xml:space="preserve"> është të thjeshtojë zbatimin e </w:t>
      </w:r>
      <w:r w:rsidR="00446C7D">
        <w:t>dispozitave relevante</w:t>
      </w:r>
      <w:r w:rsidRPr="00BE60D9">
        <w:t>, nuk</w:t>
      </w:r>
      <w:r w:rsidR="00795A6A" w:rsidRPr="00BE60D9">
        <w:t xml:space="preserve"> do të</w:t>
      </w:r>
      <w:r w:rsidRPr="00BE60D9">
        <w:t xml:space="preserve"> j</w:t>
      </w:r>
      <w:r w:rsidR="00795A6A" w:rsidRPr="00BE60D9">
        <w:t>et</w:t>
      </w:r>
      <w:r w:rsidRPr="00BE60D9">
        <w:t xml:space="preserve">ë </w:t>
      </w:r>
      <w:r w:rsidR="00795A6A" w:rsidRPr="00BE60D9">
        <w:t>e</w:t>
      </w:r>
      <w:r w:rsidRPr="00BE60D9">
        <w:t xml:space="preserve"> nevojshme </w:t>
      </w:r>
      <w:r w:rsidR="00795A6A" w:rsidRPr="00BE60D9">
        <w:t>ndonj</w:t>
      </w:r>
      <w:r w:rsidR="00BE60D9">
        <w:t>ë</w:t>
      </w:r>
      <w:r w:rsidR="00795A6A" w:rsidRPr="00BE60D9">
        <w:t xml:space="preserve"> </w:t>
      </w:r>
      <w:r w:rsidRPr="00BE60D9">
        <w:t>përgatitje e jashtëzakonshme për të mundësuar zbatimin adekuat të ligjit.</w:t>
      </w:r>
      <w:r w:rsidR="00446C7D">
        <w:t xml:space="preserve"> </w:t>
      </w:r>
    </w:p>
    <w:p w14:paraId="3D848DF2" w14:textId="698DF4A3" w:rsidR="00C96F43" w:rsidRDefault="00C96F43" w:rsidP="00C96F43">
      <w:pPr>
        <w:jc w:val="both"/>
      </w:pPr>
      <w:r>
        <w:t xml:space="preserve">Rekomandohet që, përpara se të ndërmerret rishikimi i </w:t>
      </w:r>
      <w:r w:rsidR="0075778F">
        <w:t>l</w:t>
      </w:r>
      <w:r>
        <w:t xml:space="preserve">igjit </w:t>
      </w:r>
      <w:r w:rsidR="00B04DFA">
        <w:t xml:space="preserve">për masat </w:t>
      </w:r>
      <w:proofErr w:type="spellStart"/>
      <w:r w:rsidR="00B04DFA">
        <w:t>antidamping</w:t>
      </w:r>
      <w:proofErr w:type="spellEnd"/>
      <w:r w:rsidR="00B04DFA">
        <w:t xml:space="preserve"> dhe masat </w:t>
      </w:r>
      <w:proofErr w:type="spellStart"/>
      <w:r w:rsidR="00B04DFA">
        <w:t>kundërbalancuese</w:t>
      </w:r>
      <w:proofErr w:type="spellEnd"/>
      <w:r>
        <w:t>, të përafrohen ose të përfshihen disa dispozita të ligjit të BE-së për mjetet juridike tregtare për:</w:t>
      </w:r>
    </w:p>
    <w:p w14:paraId="218F4664" w14:textId="4B1E3AAE" w:rsidR="00C96F43" w:rsidRDefault="00C96F43" w:rsidP="00C96F43">
      <w:pPr>
        <w:jc w:val="both"/>
      </w:pPr>
      <w:r>
        <w:t>-</w:t>
      </w:r>
      <w:r>
        <w:tab/>
        <w:t xml:space="preserve">të kuptuar objektivat e dispozitave të rregulloreve të BE-së për </w:t>
      </w:r>
      <w:r w:rsidR="00B04DFA">
        <w:t xml:space="preserve">masat </w:t>
      </w:r>
      <w:proofErr w:type="spellStart"/>
      <w:r w:rsidR="00B04DFA">
        <w:t>antidamping</w:t>
      </w:r>
      <w:proofErr w:type="spellEnd"/>
      <w:r w:rsidR="00B04DFA">
        <w:t xml:space="preserve"> dhe masat </w:t>
      </w:r>
      <w:proofErr w:type="spellStart"/>
      <w:r w:rsidR="00B04DFA">
        <w:t>kundërbalancuese</w:t>
      </w:r>
      <w:proofErr w:type="spellEnd"/>
      <w:r>
        <w:t xml:space="preserve"> dhe të zgjidhen vetëm ato që mund të jenë të dobishme dhe relevante për situatën dhe praktikën e Kosovës. Në</w:t>
      </w:r>
      <w:r w:rsidR="001A2465">
        <w:t xml:space="preserve"> këtë aspekt, </w:t>
      </w:r>
      <w:r>
        <w:t xml:space="preserve">disa dispozita nuk kanë nevojë të inkorporohen në ligj, por mund të shërbejnë si udhëzim. Në </w:t>
      </w:r>
      <w:r w:rsidR="001A2465">
        <w:t>këtë mënyrë, Kosova do të ruaj</w:t>
      </w:r>
      <w:r>
        <w:t xml:space="preserve"> fl</w:t>
      </w:r>
      <w:r w:rsidR="001A2465">
        <w:t>eksibilitetin dhe do të shmang</w:t>
      </w:r>
      <w:r>
        <w:t xml:space="preserve"> rrezikun e miratimit të dispozitave ligjore të cilat në pamje të parë mund të jenë të papajtueshme me ligjin e OBT-së (</w:t>
      </w:r>
      <w:r w:rsidR="001A2465">
        <w:t>veçanërisht</w:t>
      </w:r>
      <w:r>
        <w:t xml:space="preserve"> dispozita</w:t>
      </w:r>
      <w:r w:rsidR="001A2465">
        <w:t>t</w:t>
      </w:r>
      <w:r>
        <w:t xml:space="preserve"> të cilat </w:t>
      </w:r>
      <w:r w:rsidR="001A2465">
        <w:t>përputhshmëria e tyre kontestohet</w:t>
      </w:r>
      <w:r>
        <w:t xml:space="preserve"> me </w:t>
      </w:r>
      <w:r w:rsidR="001A2465">
        <w:t xml:space="preserve">ato të </w:t>
      </w:r>
      <w:r>
        <w:t>OBT-</w:t>
      </w:r>
      <w:r w:rsidR="001A2465">
        <w:t>së</w:t>
      </w:r>
      <w:r>
        <w:t>);</w:t>
      </w:r>
    </w:p>
    <w:p w14:paraId="6EF504BE" w14:textId="0642871A" w:rsidR="00C96F43" w:rsidRDefault="001A2465" w:rsidP="00C96F43">
      <w:pPr>
        <w:jc w:val="both"/>
      </w:pPr>
      <w:r>
        <w:t>-</w:t>
      </w:r>
      <w:r>
        <w:tab/>
        <w:t>vlerës</w:t>
      </w:r>
      <w:r w:rsidR="00F20957">
        <w:t>uar</w:t>
      </w:r>
      <w:r w:rsidR="00C96F43">
        <w:t xml:space="preserve"> rreziku</w:t>
      </w:r>
      <w:r w:rsidR="00F20957">
        <w:t>n</w:t>
      </w:r>
      <w:r w:rsidR="00C96F43">
        <w:t xml:space="preserve"> </w:t>
      </w:r>
      <w:r w:rsidR="00F20957">
        <w:t>e</w:t>
      </w:r>
      <w:r w:rsidR="00C96F43">
        <w:t xml:space="preserve"> </w:t>
      </w:r>
      <w:proofErr w:type="spellStart"/>
      <w:r>
        <w:t>mos</w:t>
      </w:r>
      <w:r w:rsidR="00C96F43">
        <w:t>pajtueshmërisë</w:t>
      </w:r>
      <w:proofErr w:type="spellEnd"/>
      <w:r w:rsidR="00C96F43">
        <w:t xml:space="preserve"> së OBT-së </w:t>
      </w:r>
      <w:r>
        <w:t>me</w:t>
      </w:r>
      <w:r w:rsidR="00C96F43">
        <w:t xml:space="preserve"> rishikime</w:t>
      </w:r>
      <w:r>
        <w:t>t</w:t>
      </w:r>
      <w:r w:rsidR="00C96F43">
        <w:t xml:space="preserve"> </w:t>
      </w:r>
      <w:r w:rsidR="00F20957">
        <w:t>e</w:t>
      </w:r>
      <w:r w:rsidR="00C96F43">
        <w:t xml:space="preserve"> mundshme të Ligjit pë</w:t>
      </w:r>
      <w:r w:rsidR="00F20957">
        <w:t>r Mjetet e Juridike Tregtare ku</w:t>
      </w:r>
      <w:r w:rsidR="00C96F43">
        <w:t xml:space="preserve"> zbatimi i legjislacionit të rishikuar (ligji i zbatuar) nuk do të çonte në një rrezik të konsiderueshëm të mospërputhjes me ligjin e OBT-së;</w:t>
      </w:r>
    </w:p>
    <w:p w14:paraId="1A9C936E" w14:textId="09F5371E" w:rsidR="00C96F43" w:rsidRDefault="00F20957" w:rsidP="00C96F43">
      <w:pPr>
        <w:jc w:val="both"/>
      </w:pPr>
      <w:r>
        <w:t>-</w:t>
      </w:r>
      <w:r>
        <w:tab/>
        <w:t>sigurohet</w:t>
      </w:r>
      <w:r w:rsidR="00C96F43">
        <w:t xml:space="preserve"> që legjislacioni i rishikuar mund të zbatohet </w:t>
      </w:r>
      <w:proofErr w:type="spellStart"/>
      <w:r w:rsidR="00C96F43">
        <w:t>efektivisht</w:t>
      </w:r>
      <w:proofErr w:type="spellEnd"/>
      <w:r w:rsidR="00C96F43">
        <w:t xml:space="preserve"> në afat të shkurtër</w:t>
      </w:r>
      <w:r>
        <w:t xml:space="preserve"> ose të mesëm, </w:t>
      </w:r>
      <w:r w:rsidR="00C96F43">
        <w:t>duke pasur parasysh kapacitetin dhe burimet e autoritetit hetues;</w:t>
      </w:r>
    </w:p>
    <w:p w14:paraId="393C4067" w14:textId="7C44F179" w:rsidR="00C96F43" w:rsidRDefault="00F20957" w:rsidP="00C96F43">
      <w:pPr>
        <w:jc w:val="both"/>
      </w:pPr>
      <w:r>
        <w:t>-</w:t>
      </w:r>
      <w:r>
        <w:tab/>
      </w:r>
      <w:r w:rsidR="00175669">
        <w:t>të sigurohet që</w:t>
      </w:r>
      <w:r>
        <w:t xml:space="preserve"> </w:t>
      </w:r>
      <w:r w:rsidR="00C96F43">
        <w:t>implikimet politik</w:t>
      </w:r>
      <w:r>
        <w:t>e, diplomatike dhe ekonomike të</w:t>
      </w:r>
      <w:r w:rsidR="00C96F43">
        <w:t xml:space="preserve"> legjislacioni</w:t>
      </w:r>
      <w:r>
        <w:t>t</w:t>
      </w:r>
      <w:r w:rsidR="00C96F43">
        <w:t xml:space="preserve"> të rishikuar </w:t>
      </w:r>
      <w:r w:rsidR="00175669">
        <w:t xml:space="preserve">të mos ia zbehin </w:t>
      </w:r>
      <w:proofErr w:type="spellStart"/>
      <w:r w:rsidR="00175669">
        <w:t>benefitet</w:t>
      </w:r>
      <w:proofErr w:type="spellEnd"/>
      <w:r w:rsidR="00175669">
        <w:t xml:space="preserve"> që i ka</w:t>
      </w:r>
      <w:r w:rsidR="00C96F43">
        <w:t>. Në këtë aspekt, duhet theksuar se miratimi i metodologjive dhe standardeve të BE-së do të rezultonte me detyrime më të larta ndaj partnerëve tregtarë.</w:t>
      </w:r>
    </w:p>
    <w:p w14:paraId="79662314" w14:textId="3AB57C03" w:rsidR="00324F34" w:rsidRDefault="00175669" w:rsidP="00C92E14">
      <w:r>
        <w:t xml:space="preserve">Duke pasur parasysh elementet e sipërpërmendura, objektivi parësor i një rishikimi të ligjit duhet të jetë që ta bëjë më të thjeshtë për nëpunësit civilë që të fillojnë me hetimet e </w:t>
      </w:r>
      <w:proofErr w:type="spellStart"/>
      <w:r>
        <w:t>antidamping</w:t>
      </w:r>
      <w:proofErr w:type="spellEnd"/>
      <w:r>
        <w:t xml:space="preserve"> dhe masat </w:t>
      </w:r>
      <w:proofErr w:type="spellStart"/>
      <w:r>
        <w:t>kundërbalancuese</w:t>
      </w:r>
      <w:proofErr w:type="spellEnd"/>
      <w:r>
        <w:t xml:space="preserve">, të </w:t>
      </w:r>
      <w:r w:rsidR="00324F34">
        <w:t>zhvillojnë</w:t>
      </w:r>
      <w:r>
        <w:t xml:space="preserve"> dhe përfundojnë me sukses hetimet në përputhje me rregullat e OBT-së dhe t'u kursejnë </w:t>
      </w:r>
      <w:r w:rsidR="00324F34">
        <w:t>stafit</w:t>
      </w:r>
      <w:r>
        <w:t xml:space="preserve"> ngarkesat e </w:t>
      </w:r>
      <w:proofErr w:type="spellStart"/>
      <w:r>
        <w:t>panevojshme.Megjithatë</w:t>
      </w:r>
      <w:proofErr w:type="spellEnd"/>
      <w:r>
        <w:t>, vetëm rishikimi i ligjit – edhe pse i nevojshëm – nuk do të jetë i mjaftueshëm në arritjen e këtij objektivi, prandaj r</w:t>
      </w:r>
      <w:r w:rsidR="00324F34">
        <w:t xml:space="preserve">ekomandohet që hartimi dhe miratimi i ligjit të ri </w:t>
      </w:r>
      <w:r>
        <w:t>të shoqërohet me asistencë teknike dhe ngritjen e kapaciteteve në lidhje me kuptimin e tij, fleksibilitetet që ofron dhe metodologjitë e ndryshme që mund të përdoren nga Ministria në bazë të saj.</w:t>
      </w:r>
    </w:p>
    <w:p w14:paraId="1A7186C4" w14:textId="73D21F10" w:rsidR="00C92E14" w:rsidRPr="00937662" w:rsidRDefault="00324F34" w:rsidP="00324F34">
      <w:pPr>
        <w:rPr>
          <w:iCs/>
        </w:rPr>
        <w:sectPr w:rsidR="00C92E14" w:rsidRPr="00937662" w:rsidSect="00646EBE">
          <w:headerReference w:type="default" r:id="rId11"/>
          <w:footerReference w:type="default" r:id="rId12"/>
          <w:pgSz w:w="12240" w:h="15840"/>
          <w:pgMar w:top="1440" w:right="1440" w:bottom="1440" w:left="1260" w:header="720" w:footer="720" w:gutter="0"/>
          <w:cols w:space="720"/>
          <w:titlePg/>
          <w:docGrid w:linePitch="360"/>
        </w:sectPr>
      </w:pPr>
      <w:r>
        <w:t xml:space="preserve">Do të jetë e domosdoshme t'i jepen Ministrisë: udhëzime të hollësishme për të kryer hetime (hap pas hapi), formate dhe shabllone për raportet e brendshme, njoftimet për fillimin, përcaktimet paraprake dhe përfundimtare dhe (nëse është e mundur) softuer ose tabelë Excel të </w:t>
      </w:r>
      <w:proofErr w:type="spellStart"/>
      <w:r>
        <w:t>përgatitura.Për</w:t>
      </w:r>
      <w:proofErr w:type="spellEnd"/>
      <w:r>
        <w:t xml:space="preserve"> më tepër, do të jetë e dobishme të sigurohet mbështetje për industritë vendore: përhapja e njohurive mbi mjetet juridike tregtare dhe aplikimet për masat korrigjuese të tregtisë dhe ndihma e tyre për t'u organizuar kolektivisht (ndoshta duke inkurajuar pikat kryesore, krijimin e një rrjeti industrie, etj.).</w:t>
      </w:r>
      <w:r w:rsidR="00C92E14" w:rsidRPr="00937662">
        <w:t xml:space="preserve"> </w:t>
      </w:r>
    </w:p>
    <w:p w14:paraId="104BC999" w14:textId="77777777" w:rsidR="00C92E14" w:rsidRPr="00937662" w:rsidRDefault="00C92E14" w:rsidP="006549E0">
      <w:pPr>
        <w:pStyle w:val="Heading1"/>
        <w:rPr>
          <w:sz w:val="28"/>
          <w:szCs w:val="28"/>
        </w:rPr>
      </w:pPr>
      <w:bookmarkStart w:id="34" w:name="_Toc66089568"/>
      <w:bookmarkStart w:id="35" w:name="_Toc69198235"/>
      <w:r w:rsidRPr="00937662">
        <w:rPr>
          <w:sz w:val="28"/>
          <w:szCs w:val="28"/>
        </w:rPr>
        <w:lastRenderedPageBreak/>
        <w:t>Aneksi 1: Formulari i vlerësimit të ndikimit ekonomik</w:t>
      </w:r>
      <w:r w:rsidRPr="00937662">
        <w:rPr>
          <w:sz w:val="28"/>
          <w:szCs w:val="28"/>
          <w:vertAlign w:val="superscript"/>
        </w:rPr>
        <w:footnoteReference w:id="1"/>
      </w:r>
      <w:bookmarkEnd w:id="34"/>
      <w:bookmarkEnd w:id="35"/>
    </w:p>
    <w:tbl>
      <w:tblPr>
        <w:tblStyle w:val="TableGrid"/>
        <w:tblW w:w="9990" w:type="dxa"/>
        <w:tblInd w:w="-635" w:type="dxa"/>
        <w:tblLayout w:type="fixed"/>
        <w:tblLook w:val="04A0" w:firstRow="1" w:lastRow="0" w:firstColumn="1" w:lastColumn="0" w:noHBand="0" w:noVBand="1"/>
      </w:tblPr>
      <w:tblGrid>
        <w:gridCol w:w="1350"/>
        <w:gridCol w:w="2970"/>
        <w:gridCol w:w="630"/>
        <w:gridCol w:w="630"/>
        <w:gridCol w:w="1530"/>
        <w:gridCol w:w="1620"/>
        <w:gridCol w:w="1260"/>
      </w:tblGrid>
      <w:tr w:rsidR="00C92E14" w:rsidRPr="00937662" w14:paraId="2D325FBC" w14:textId="77777777" w:rsidTr="003E4E3B">
        <w:tc>
          <w:tcPr>
            <w:tcW w:w="1350" w:type="dxa"/>
            <w:vMerge w:val="restart"/>
          </w:tcPr>
          <w:p w14:paraId="4681B57E" w14:textId="77777777" w:rsidR="00C92E14" w:rsidRPr="00937662" w:rsidRDefault="00C92E14" w:rsidP="00C92E14">
            <w:pPr>
              <w:rPr>
                <w:b/>
              </w:rPr>
            </w:pPr>
            <w:r w:rsidRPr="00937662">
              <w:rPr>
                <w:b/>
              </w:rPr>
              <w:t>Kategoria e ndikimeve ekonomike</w:t>
            </w:r>
          </w:p>
        </w:tc>
        <w:tc>
          <w:tcPr>
            <w:tcW w:w="2970" w:type="dxa"/>
            <w:vMerge w:val="restart"/>
          </w:tcPr>
          <w:p w14:paraId="791C847A" w14:textId="77777777" w:rsidR="00C92E14" w:rsidRPr="00937662" w:rsidRDefault="00C92E14" w:rsidP="00C92E14">
            <w:pPr>
              <w:rPr>
                <w:b/>
              </w:rPr>
            </w:pPr>
            <w:r w:rsidRPr="00937662">
              <w:rPr>
                <w:b/>
              </w:rPr>
              <w:t>Ndikimi kryesor</w:t>
            </w:r>
          </w:p>
        </w:tc>
        <w:tc>
          <w:tcPr>
            <w:tcW w:w="1260" w:type="dxa"/>
            <w:gridSpan w:val="2"/>
          </w:tcPr>
          <w:p w14:paraId="56133720" w14:textId="77777777" w:rsidR="00C92E14" w:rsidRPr="00937662" w:rsidRDefault="00C92E14" w:rsidP="00C92E14">
            <w:pPr>
              <w:rPr>
                <w:b/>
              </w:rPr>
            </w:pPr>
            <w:r w:rsidRPr="00937662">
              <w:rPr>
                <w:b/>
              </w:rPr>
              <w:t>A pritet të ndodhë ky ndikim?</w:t>
            </w:r>
          </w:p>
        </w:tc>
        <w:tc>
          <w:tcPr>
            <w:tcW w:w="1530" w:type="dxa"/>
          </w:tcPr>
          <w:p w14:paraId="3A36BBBD" w14:textId="77777777" w:rsidR="00C92E14" w:rsidRPr="00937662" w:rsidRDefault="00C92E14" w:rsidP="00C92E14">
            <w:pPr>
              <w:rPr>
                <w:b/>
              </w:rPr>
            </w:pPr>
            <w:r w:rsidRPr="00937662">
              <w:rPr>
                <w:b/>
              </w:rPr>
              <w:t>Numri i organizatave, kompanive dhe / ose individëve të prekur</w:t>
            </w:r>
          </w:p>
        </w:tc>
        <w:tc>
          <w:tcPr>
            <w:tcW w:w="1620" w:type="dxa"/>
          </w:tcPr>
          <w:p w14:paraId="60CD17D3" w14:textId="77777777" w:rsidR="00C92E14" w:rsidRPr="00937662" w:rsidRDefault="00C92E14" w:rsidP="00C92E14">
            <w:pPr>
              <w:rPr>
                <w:b/>
              </w:rPr>
            </w:pPr>
            <w:r w:rsidRPr="00937662">
              <w:rPr>
                <w:b/>
              </w:rPr>
              <w:t>Përfitimi ose kostoja e pritur e ndikimit</w:t>
            </w:r>
          </w:p>
        </w:tc>
        <w:tc>
          <w:tcPr>
            <w:tcW w:w="1260" w:type="dxa"/>
          </w:tcPr>
          <w:p w14:paraId="3717F582" w14:textId="77777777" w:rsidR="00C92E14" w:rsidRPr="00937662" w:rsidRDefault="00C92E14" w:rsidP="00C92E14">
            <w:pPr>
              <w:rPr>
                <w:b/>
              </w:rPr>
            </w:pPr>
            <w:r w:rsidRPr="00937662">
              <w:rPr>
                <w:b/>
              </w:rPr>
              <w:t>Niveli i preferuar i analizës</w:t>
            </w:r>
          </w:p>
        </w:tc>
      </w:tr>
      <w:tr w:rsidR="00C92E14" w:rsidRPr="00937662" w14:paraId="51DC005C" w14:textId="77777777" w:rsidTr="003E4E3B">
        <w:tc>
          <w:tcPr>
            <w:tcW w:w="1350" w:type="dxa"/>
            <w:vMerge/>
          </w:tcPr>
          <w:p w14:paraId="008F6B2B" w14:textId="77777777" w:rsidR="00C92E14" w:rsidRPr="00937662" w:rsidRDefault="00C92E14" w:rsidP="00C92E14">
            <w:pPr>
              <w:rPr>
                <w:b/>
              </w:rPr>
            </w:pPr>
          </w:p>
        </w:tc>
        <w:tc>
          <w:tcPr>
            <w:tcW w:w="2970" w:type="dxa"/>
            <w:vMerge/>
          </w:tcPr>
          <w:p w14:paraId="190F091F" w14:textId="77777777" w:rsidR="00C92E14" w:rsidRPr="00937662" w:rsidRDefault="00C92E14" w:rsidP="00C92E14">
            <w:pPr>
              <w:rPr>
                <w:b/>
              </w:rPr>
            </w:pPr>
          </w:p>
        </w:tc>
        <w:tc>
          <w:tcPr>
            <w:tcW w:w="630" w:type="dxa"/>
          </w:tcPr>
          <w:p w14:paraId="70DD9C16" w14:textId="77777777" w:rsidR="00C92E14" w:rsidRPr="00937662" w:rsidRDefault="00C92E14" w:rsidP="00C92E14">
            <w:pPr>
              <w:rPr>
                <w:b/>
              </w:rPr>
            </w:pPr>
            <w:r w:rsidRPr="00937662">
              <w:rPr>
                <w:b/>
              </w:rPr>
              <w:t>Po</w:t>
            </w:r>
          </w:p>
        </w:tc>
        <w:tc>
          <w:tcPr>
            <w:tcW w:w="630" w:type="dxa"/>
          </w:tcPr>
          <w:p w14:paraId="00B9FBAF" w14:textId="77777777" w:rsidR="00C92E14" w:rsidRPr="00937662" w:rsidRDefault="00C92E14" w:rsidP="00C92E14">
            <w:pPr>
              <w:rPr>
                <w:b/>
              </w:rPr>
            </w:pPr>
            <w:r w:rsidRPr="00937662">
              <w:rPr>
                <w:b/>
              </w:rPr>
              <w:t>Jo</w:t>
            </w:r>
          </w:p>
        </w:tc>
        <w:tc>
          <w:tcPr>
            <w:tcW w:w="1530" w:type="dxa"/>
          </w:tcPr>
          <w:p w14:paraId="79F911DB" w14:textId="77777777" w:rsidR="00C92E14" w:rsidRPr="00937662" w:rsidRDefault="00C92E14" w:rsidP="00C92E14">
            <w:pPr>
              <w:rPr>
                <w:b/>
              </w:rPr>
            </w:pPr>
            <w:r w:rsidRPr="00937662">
              <w:rPr>
                <w:b/>
              </w:rPr>
              <w:t>I lartë / i ulët</w:t>
            </w:r>
          </w:p>
        </w:tc>
        <w:tc>
          <w:tcPr>
            <w:tcW w:w="1620" w:type="dxa"/>
          </w:tcPr>
          <w:p w14:paraId="632F01FB" w14:textId="77777777" w:rsidR="00C92E14" w:rsidRPr="00937662" w:rsidRDefault="00C92E14" w:rsidP="00C92E14">
            <w:pPr>
              <w:rPr>
                <w:b/>
              </w:rPr>
            </w:pPr>
            <w:r w:rsidRPr="00937662">
              <w:rPr>
                <w:b/>
              </w:rPr>
              <w:t>I lartë / i ulët</w:t>
            </w:r>
          </w:p>
        </w:tc>
        <w:tc>
          <w:tcPr>
            <w:tcW w:w="1260" w:type="dxa"/>
          </w:tcPr>
          <w:p w14:paraId="1D6BF67E" w14:textId="77777777" w:rsidR="00C92E14" w:rsidRPr="00937662" w:rsidRDefault="00C92E14" w:rsidP="00C92E14">
            <w:pPr>
              <w:rPr>
                <w:b/>
              </w:rPr>
            </w:pPr>
          </w:p>
        </w:tc>
      </w:tr>
      <w:tr w:rsidR="00C92E14" w:rsidRPr="00937662" w14:paraId="2DB6F374" w14:textId="77777777" w:rsidTr="003E4E3B">
        <w:tc>
          <w:tcPr>
            <w:tcW w:w="1350" w:type="dxa"/>
            <w:vMerge w:val="restart"/>
          </w:tcPr>
          <w:p w14:paraId="0006B94B" w14:textId="77777777" w:rsidR="00C92E14" w:rsidRPr="00937662" w:rsidRDefault="00C92E14" w:rsidP="00C92E14">
            <w:r w:rsidRPr="00937662">
              <w:t>Vendet e punës</w:t>
            </w:r>
            <w:r w:rsidRPr="00937662">
              <w:rPr>
                <w:vertAlign w:val="superscript"/>
              </w:rPr>
              <w:footnoteReference w:id="2"/>
            </w:r>
          </w:p>
        </w:tc>
        <w:tc>
          <w:tcPr>
            <w:tcW w:w="2970" w:type="dxa"/>
          </w:tcPr>
          <w:p w14:paraId="1CFF2CFE" w14:textId="77777777" w:rsidR="00C92E14" w:rsidRPr="00937662" w:rsidRDefault="00C92E14" w:rsidP="00C92E14">
            <w:r w:rsidRPr="00937662">
              <w:t>A do të rritet numri aktual i vendeve të punës?</w:t>
            </w:r>
          </w:p>
        </w:tc>
        <w:tc>
          <w:tcPr>
            <w:tcW w:w="630" w:type="dxa"/>
          </w:tcPr>
          <w:p w14:paraId="046DCF57" w14:textId="060A1880" w:rsidR="00C92E14" w:rsidRPr="00937662" w:rsidRDefault="003A53B6" w:rsidP="00C92E14">
            <w:r>
              <w:t>x</w:t>
            </w:r>
          </w:p>
        </w:tc>
        <w:tc>
          <w:tcPr>
            <w:tcW w:w="630" w:type="dxa"/>
          </w:tcPr>
          <w:p w14:paraId="03B7ED2A" w14:textId="4D3901D1" w:rsidR="00C92E14" w:rsidRPr="00937662" w:rsidRDefault="00C92E14" w:rsidP="00C92E14"/>
        </w:tc>
        <w:tc>
          <w:tcPr>
            <w:tcW w:w="1530" w:type="dxa"/>
          </w:tcPr>
          <w:p w14:paraId="42120C58" w14:textId="77777777" w:rsidR="00C92E14" w:rsidRPr="00937662" w:rsidRDefault="00C92E14" w:rsidP="00C92E14"/>
        </w:tc>
        <w:tc>
          <w:tcPr>
            <w:tcW w:w="1620" w:type="dxa"/>
          </w:tcPr>
          <w:p w14:paraId="49706CA0" w14:textId="77777777" w:rsidR="00C92E14" w:rsidRPr="00937662" w:rsidRDefault="00C92E14" w:rsidP="00C92E14"/>
        </w:tc>
        <w:tc>
          <w:tcPr>
            <w:tcW w:w="1260" w:type="dxa"/>
          </w:tcPr>
          <w:p w14:paraId="79041C19" w14:textId="77777777" w:rsidR="00C92E14" w:rsidRPr="00937662" w:rsidRDefault="00C92E14" w:rsidP="00C92E14"/>
        </w:tc>
      </w:tr>
      <w:tr w:rsidR="00C92E14" w:rsidRPr="00937662" w14:paraId="07892D4D" w14:textId="77777777" w:rsidTr="003E4E3B">
        <w:tc>
          <w:tcPr>
            <w:tcW w:w="1350" w:type="dxa"/>
            <w:vMerge/>
          </w:tcPr>
          <w:p w14:paraId="5EA67318" w14:textId="77777777" w:rsidR="00C92E14" w:rsidRPr="00937662" w:rsidRDefault="00C92E14" w:rsidP="00C92E14"/>
        </w:tc>
        <w:tc>
          <w:tcPr>
            <w:tcW w:w="2970" w:type="dxa"/>
          </w:tcPr>
          <w:p w14:paraId="329A4446" w14:textId="77777777" w:rsidR="00C92E14" w:rsidRPr="00937662" w:rsidRDefault="00C92E14" w:rsidP="00C92E14">
            <w:r w:rsidRPr="00937662">
              <w:t>A do të zvogëlohet numri aktual i vendeve të punës?</w:t>
            </w:r>
          </w:p>
        </w:tc>
        <w:tc>
          <w:tcPr>
            <w:tcW w:w="630" w:type="dxa"/>
          </w:tcPr>
          <w:p w14:paraId="633A0220" w14:textId="77777777" w:rsidR="00C92E14" w:rsidRPr="00937662" w:rsidRDefault="00C92E14" w:rsidP="00C92E14"/>
        </w:tc>
        <w:tc>
          <w:tcPr>
            <w:tcW w:w="630" w:type="dxa"/>
          </w:tcPr>
          <w:p w14:paraId="43707784" w14:textId="77777777" w:rsidR="00C92E14" w:rsidRPr="00937662" w:rsidRDefault="00C92E14" w:rsidP="00C92E14">
            <w:r w:rsidRPr="00937662">
              <w:t>x</w:t>
            </w:r>
          </w:p>
        </w:tc>
        <w:tc>
          <w:tcPr>
            <w:tcW w:w="1530" w:type="dxa"/>
          </w:tcPr>
          <w:p w14:paraId="4CA5E063" w14:textId="77777777" w:rsidR="00C92E14" w:rsidRPr="00937662" w:rsidRDefault="00C92E14" w:rsidP="00C92E14"/>
        </w:tc>
        <w:tc>
          <w:tcPr>
            <w:tcW w:w="1620" w:type="dxa"/>
          </w:tcPr>
          <w:p w14:paraId="129E2337" w14:textId="77777777" w:rsidR="00C92E14" w:rsidRPr="00937662" w:rsidRDefault="00C92E14" w:rsidP="00C92E14"/>
        </w:tc>
        <w:tc>
          <w:tcPr>
            <w:tcW w:w="1260" w:type="dxa"/>
          </w:tcPr>
          <w:p w14:paraId="57B9A203" w14:textId="77777777" w:rsidR="00C92E14" w:rsidRPr="00937662" w:rsidRDefault="00C92E14" w:rsidP="00C92E14"/>
        </w:tc>
      </w:tr>
      <w:tr w:rsidR="00C92E14" w:rsidRPr="00937662" w14:paraId="55C11CA9" w14:textId="77777777" w:rsidTr="003E4E3B">
        <w:tc>
          <w:tcPr>
            <w:tcW w:w="1350" w:type="dxa"/>
            <w:vMerge/>
          </w:tcPr>
          <w:p w14:paraId="349B9F24" w14:textId="77777777" w:rsidR="00C92E14" w:rsidRPr="00937662" w:rsidRDefault="00C92E14" w:rsidP="00C92E14"/>
        </w:tc>
        <w:tc>
          <w:tcPr>
            <w:tcW w:w="2970" w:type="dxa"/>
          </w:tcPr>
          <w:p w14:paraId="5134FC72" w14:textId="77777777" w:rsidR="00C92E14" w:rsidRPr="00937662" w:rsidRDefault="00C92E14" w:rsidP="00C92E14">
            <w:r w:rsidRPr="00937662">
              <w:t>A do të ndikojë në nivelin e pagesës?</w:t>
            </w:r>
          </w:p>
        </w:tc>
        <w:tc>
          <w:tcPr>
            <w:tcW w:w="630" w:type="dxa"/>
          </w:tcPr>
          <w:p w14:paraId="78C58F7B" w14:textId="77777777" w:rsidR="00C92E14" w:rsidRPr="00937662" w:rsidRDefault="00C92E14" w:rsidP="00C92E14"/>
        </w:tc>
        <w:tc>
          <w:tcPr>
            <w:tcW w:w="630" w:type="dxa"/>
          </w:tcPr>
          <w:p w14:paraId="4E1E5B5E" w14:textId="77777777" w:rsidR="00C92E14" w:rsidRPr="00937662" w:rsidRDefault="00C92E14" w:rsidP="00C92E14">
            <w:r w:rsidRPr="00937662">
              <w:t>x</w:t>
            </w:r>
          </w:p>
        </w:tc>
        <w:tc>
          <w:tcPr>
            <w:tcW w:w="1530" w:type="dxa"/>
          </w:tcPr>
          <w:p w14:paraId="7DA3FE62" w14:textId="77777777" w:rsidR="00C92E14" w:rsidRPr="00937662" w:rsidRDefault="00C92E14" w:rsidP="00C92E14"/>
        </w:tc>
        <w:tc>
          <w:tcPr>
            <w:tcW w:w="1620" w:type="dxa"/>
          </w:tcPr>
          <w:p w14:paraId="1763029F" w14:textId="77777777" w:rsidR="00C92E14" w:rsidRPr="00937662" w:rsidRDefault="00C92E14" w:rsidP="00C92E14"/>
        </w:tc>
        <w:tc>
          <w:tcPr>
            <w:tcW w:w="1260" w:type="dxa"/>
          </w:tcPr>
          <w:p w14:paraId="4C683B8B" w14:textId="77777777" w:rsidR="00C92E14" w:rsidRPr="00937662" w:rsidRDefault="00C92E14" w:rsidP="00C92E14"/>
        </w:tc>
      </w:tr>
      <w:tr w:rsidR="00C92E14" w:rsidRPr="00937662" w14:paraId="071444CC" w14:textId="77777777" w:rsidTr="003E4E3B">
        <w:tc>
          <w:tcPr>
            <w:tcW w:w="1350" w:type="dxa"/>
            <w:vMerge/>
          </w:tcPr>
          <w:p w14:paraId="6C755F13" w14:textId="77777777" w:rsidR="00C92E14" w:rsidRPr="00937662" w:rsidRDefault="00C92E14" w:rsidP="00C92E14"/>
        </w:tc>
        <w:tc>
          <w:tcPr>
            <w:tcW w:w="2970" w:type="dxa"/>
          </w:tcPr>
          <w:p w14:paraId="6DCD5A61" w14:textId="77777777" w:rsidR="00C92E14" w:rsidRPr="00937662" w:rsidRDefault="00C92E14" w:rsidP="00C92E14">
            <w:r w:rsidRPr="00937662">
              <w:t>A do të ndikojë në lehtësinë e gjetjes së punës?</w:t>
            </w:r>
          </w:p>
        </w:tc>
        <w:tc>
          <w:tcPr>
            <w:tcW w:w="630" w:type="dxa"/>
          </w:tcPr>
          <w:p w14:paraId="7A112C74" w14:textId="4C5AAA03" w:rsidR="00C92E14" w:rsidRPr="00937662" w:rsidRDefault="003A53B6" w:rsidP="00C92E14">
            <w:r>
              <w:t>x</w:t>
            </w:r>
          </w:p>
        </w:tc>
        <w:tc>
          <w:tcPr>
            <w:tcW w:w="630" w:type="dxa"/>
          </w:tcPr>
          <w:p w14:paraId="7FE349A9" w14:textId="1F0788C4" w:rsidR="00C92E14" w:rsidRPr="00937662" w:rsidRDefault="00C92E14" w:rsidP="00C92E14"/>
        </w:tc>
        <w:tc>
          <w:tcPr>
            <w:tcW w:w="1530" w:type="dxa"/>
          </w:tcPr>
          <w:p w14:paraId="4D8DCB69" w14:textId="77777777" w:rsidR="00C92E14" w:rsidRPr="00937662" w:rsidRDefault="00C92E14" w:rsidP="00C92E14"/>
        </w:tc>
        <w:tc>
          <w:tcPr>
            <w:tcW w:w="1620" w:type="dxa"/>
          </w:tcPr>
          <w:p w14:paraId="53C14E17" w14:textId="77777777" w:rsidR="00C92E14" w:rsidRPr="00937662" w:rsidRDefault="00C92E14" w:rsidP="00C92E14"/>
        </w:tc>
        <w:tc>
          <w:tcPr>
            <w:tcW w:w="1260" w:type="dxa"/>
          </w:tcPr>
          <w:p w14:paraId="39DDA51E" w14:textId="77777777" w:rsidR="00C92E14" w:rsidRPr="00937662" w:rsidRDefault="00C92E14" w:rsidP="00C92E14"/>
        </w:tc>
      </w:tr>
      <w:tr w:rsidR="00C92E14" w:rsidRPr="00937662" w14:paraId="3DC65DA2" w14:textId="77777777" w:rsidTr="003E4E3B">
        <w:tc>
          <w:tcPr>
            <w:tcW w:w="1350" w:type="dxa"/>
            <w:vMerge w:val="restart"/>
          </w:tcPr>
          <w:p w14:paraId="2F9FF1DE" w14:textId="77777777" w:rsidR="00C92E14" w:rsidRPr="00937662" w:rsidRDefault="00C92E14" w:rsidP="00C92E14">
            <w:r w:rsidRPr="00937662">
              <w:t>Të bërit biznes</w:t>
            </w:r>
          </w:p>
        </w:tc>
        <w:tc>
          <w:tcPr>
            <w:tcW w:w="2970" w:type="dxa"/>
          </w:tcPr>
          <w:p w14:paraId="260EAE7D" w14:textId="77777777" w:rsidR="00C92E14" w:rsidRPr="00937662" w:rsidRDefault="00C92E14" w:rsidP="00C92E14">
            <w:r w:rsidRPr="00937662">
              <w:t>A do të ndikojë në qasjen në financa për bizneset?</w:t>
            </w:r>
          </w:p>
        </w:tc>
        <w:tc>
          <w:tcPr>
            <w:tcW w:w="630" w:type="dxa"/>
          </w:tcPr>
          <w:p w14:paraId="1C48A6E9" w14:textId="77777777" w:rsidR="00C92E14" w:rsidRPr="00937662" w:rsidRDefault="00C92E14" w:rsidP="00C92E14"/>
        </w:tc>
        <w:tc>
          <w:tcPr>
            <w:tcW w:w="630" w:type="dxa"/>
          </w:tcPr>
          <w:p w14:paraId="2A3806A6" w14:textId="77777777" w:rsidR="00C92E14" w:rsidRPr="00937662" w:rsidRDefault="00C92E14" w:rsidP="00C92E14">
            <w:r w:rsidRPr="00937662">
              <w:t>x</w:t>
            </w:r>
          </w:p>
        </w:tc>
        <w:tc>
          <w:tcPr>
            <w:tcW w:w="1530" w:type="dxa"/>
          </w:tcPr>
          <w:p w14:paraId="4263C527" w14:textId="77777777" w:rsidR="00C92E14" w:rsidRPr="00937662" w:rsidRDefault="00C92E14" w:rsidP="00C92E14"/>
        </w:tc>
        <w:tc>
          <w:tcPr>
            <w:tcW w:w="1620" w:type="dxa"/>
          </w:tcPr>
          <w:p w14:paraId="088F4183" w14:textId="77777777" w:rsidR="00C92E14" w:rsidRPr="00937662" w:rsidRDefault="00C92E14" w:rsidP="00C92E14"/>
        </w:tc>
        <w:tc>
          <w:tcPr>
            <w:tcW w:w="1260" w:type="dxa"/>
          </w:tcPr>
          <w:p w14:paraId="7AD0F7FB" w14:textId="77777777" w:rsidR="00C92E14" w:rsidRPr="00937662" w:rsidRDefault="00C92E14" w:rsidP="00C92E14"/>
        </w:tc>
      </w:tr>
      <w:tr w:rsidR="00C92E14" w:rsidRPr="00937662" w14:paraId="4E3D6575" w14:textId="77777777" w:rsidTr="003E4E3B">
        <w:tc>
          <w:tcPr>
            <w:tcW w:w="1350" w:type="dxa"/>
            <w:vMerge/>
          </w:tcPr>
          <w:p w14:paraId="7E02D6A8" w14:textId="77777777" w:rsidR="00C92E14" w:rsidRPr="00937662" w:rsidRDefault="00C92E14" w:rsidP="00C92E14"/>
        </w:tc>
        <w:tc>
          <w:tcPr>
            <w:tcW w:w="2970" w:type="dxa"/>
          </w:tcPr>
          <w:p w14:paraId="4DF1DDD2" w14:textId="77777777" w:rsidR="00C92E14" w:rsidRPr="00937662" w:rsidRDefault="00C92E14" w:rsidP="00C92E14">
            <w:r w:rsidRPr="00937662">
              <w:t>A do të largohen nga tregu produkte të caktuara?</w:t>
            </w:r>
          </w:p>
        </w:tc>
        <w:tc>
          <w:tcPr>
            <w:tcW w:w="630" w:type="dxa"/>
          </w:tcPr>
          <w:p w14:paraId="52D7A59E" w14:textId="77777777" w:rsidR="00C92E14" w:rsidRPr="00937662" w:rsidRDefault="00C92E14" w:rsidP="00C92E14">
            <w:r w:rsidRPr="00937662">
              <w:t>x</w:t>
            </w:r>
          </w:p>
        </w:tc>
        <w:tc>
          <w:tcPr>
            <w:tcW w:w="630" w:type="dxa"/>
          </w:tcPr>
          <w:p w14:paraId="35F9808E" w14:textId="77777777" w:rsidR="00C92E14" w:rsidRPr="00937662" w:rsidRDefault="00C92E14" w:rsidP="00C92E14"/>
        </w:tc>
        <w:tc>
          <w:tcPr>
            <w:tcW w:w="1530" w:type="dxa"/>
          </w:tcPr>
          <w:p w14:paraId="3FC59F7A" w14:textId="77777777" w:rsidR="00C92E14" w:rsidRPr="00937662" w:rsidRDefault="00C92E14" w:rsidP="00C92E14">
            <w:r w:rsidRPr="00937662">
              <w:t>E ulët</w:t>
            </w:r>
          </w:p>
        </w:tc>
        <w:tc>
          <w:tcPr>
            <w:tcW w:w="1620" w:type="dxa"/>
          </w:tcPr>
          <w:p w14:paraId="1B83E7A2" w14:textId="77777777" w:rsidR="00C92E14" w:rsidRPr="00937662" w:rsidRDefault="00C92E14" w:rsidP="00C92E14">
            <w:r w:rsidRPr="00937662">
              <w:t>E ulët</w:t>
            </w:r>
          </w:p>
        </w:tc>
        <w:tc>
          <w:tcPr>
            <w:tcW w:w="1260" w:type="dxa"/>
          </w:tcPr>
          <w:p w14:paraId="2E5A034D" w14:textId="77777777" w:rsidR="00C92E14" w:rsidRPr="00937662" w:rsidRDefault="00C92E14" w:rsidP="00C92E14"/>
        </w:tc>
      </w:tr>
      <w:tr w:rsidR="00C92E14" w:rsidRPr="00937662" w14:paraId="4538ACDB" w14:textId="77777777" w:rsidTr="003E4E3B">
        <w:trPr>
          <w:trHeight w:val="602"/>
        </w:trPr>
        <w:tc>
          <w:tcPr>
            <w:tcW w:w="1350" w:type="dxa"/>
            <w:vMerge/>
          </w:tcPr>
          <w:p w14:paraId="246A1418" w14:textId="77777777" w:rsidR="00C92E14" w:rsidRPr="00937662" w:rsidRDefault="00C92E14" w:rsidP="00C92E14"/>
        </w:tc>
        <w:tc>
          <w:tcPr>
            <w:tcW w:w="2970" w:type="dxa"/>
          </w:tcPr>
          <w:p w14:paraId="1491A75A" w14:textId="77777777" w:rsidR="00C92E14" w:rsidRPr="00937662" w:rsidRDefault="00C92E14" w:rsidP="00C92E14">
            <w:r w:rsidRPr="00937662">
              <w:t>A do të lejohen produkte të caktuara në treg?</w:t>
            </w:r>
          </w:p>
        </w:tc>
        <w:tc>
          <w:tcPr>
            <w:tcW w:w="630" w:type="dxa"/>
          </w:tcPr>
          <w:p w14:paraId="32CDD7E0" w14:textId="77777777" w:rsidR="00C92E14" w:rsidRPr="00937662" w:rsidRDefault="00C92E14" w:rsidP="00C92E14"/>
        </w:tc>
        <w:tc>
          <w:tcPr>
            <w:tcW w:w="630" w:type="dxa"/>
          </w:tcPr>
          <w:p w14:paraId="1DDF7E59" w14:textId="77777777" w:rsidR="00C92E14" w:rsidRPr="00937662" w:rsidRDefault="00C92E14" w:rsidP="00C92E14">
            <w:r w:rsidRPr="00937662">
              <w:t>x</w:t>
            </w:r>
          </w:p>
        </w:tc>
        <w:tc>
          <w:tcPr>
            <w:tcW w:w="1530" w:type="dxa"/>
          </w:tcPr>
          <w:p w14:paraId="21FEEB3C" w14:textId="77777777" w:rsidR="00C92E14" w:rsidRPr="00937662" w:rsidRDefault="00C92E14" w:rsidP="00C92E14"/>
        </w:tc>
        <w:tc>
          <w:tcPr>
            <w:tcW w:w="1620" w:type="dxa"/>
          </w:tcPr>
          <w:p w14:paraId="4B931A8A" w14:textId="77777777" w:rsidR="00C92E14" w:rsidRPr="00937662" w:rsidRDefault="00C92E14" w:rsidP="00C92E14"/>
        </w:tc>
        <w:tc>
          <w:tcPr>
            <w:tcW w:w="1260" w:type="dxa"/>
          </w:tcPr>
          <w:p w14:paraId="656DED62" w14:textId="77777777" w:rsidR="00C92E14" w:rsidRPr="00937662" w:rsidRDefault="00C92E14" w:rsidP="00C92E14"/>
        </w:tc>
      </w:tr>
      <w:tr w:rsidR="00C92E14" w:rsidRPr="00937662" w14:paraId="22720B64" w14:textId="77777777" w:rsidTr="003E4E3B">
        <w:tc>
          <w:tcPr>
            <w:tcW w:w="1350" w:type="dxa"/>
            <w:vMerge/>
          </w:tcPr>
          <w:p w14:paraId="2A4C28BF" w14:textId="77777777" w:rsidR="00C92E14" w:rsidRPr="00937662" w:rsidRDefault="00C92E14" w:rsidP="00C92E14"/>
        </w:tc>
        <w:tc>
          <w:tcPr>
            <w:tcW w:w="2970" w:type="dxa"/>
          </w:tcPr>
          <w:p w14:paraId="46C40366" w14:textId="77777777" w:rsidR="00C92E14" w:rsidRPr="00937662" w:rsidRDefault="00C92E14" w:rsidP="00C92E14">
            <w:r w:rsidRPr="00937662">
              <w:t>A do të mbyllen bizneset?</w:t>
            </w:r>
          </w:p>
        </w:tc>
        <w:tc>
          <w:tcPr>
            <w:tcW w:w="630" w:type="dxa"/>
          </w:tcPr>
          <w:p w14:paraId="68C33BFD" w14:textId="77777777" w:rsidR="00C92E14" w:rsidRPr="00937662" w:rsidRDefault="00C92E14" w:rsidP="00C92E14"/>
        </w:tc>
        <w:tc>
          <w:tcPr>
            <w:tcW w:w="630" w:type="dxa"/>
          </w:tcPr>
          <w:p w14:paraId="24E1543E" w14:textId="77777777" w:rsidR="00C92E14" w:rsidRPr="00937662" w:rsidRDefault="00C92E14" w:rsidP="00C92E14">
            <w:r w:rsidRPr="00937662">
              <w:t>x</w:t>
            </w:r>
          </w:p>
        </w:tc>
        <w:tc>
          <w:tcPr>
            <w:tcW w:w="1530" w:type="dxa"/>
          </w:tcPr>
          <w:p w14:paraId="7369A79C" w14:textId="77777777" w:rsidR="00C92E14" w:rsidRPr="00937662" w:rsidRDefault="00C92E14" w:rsidP="00C92E14"/>
        </w:tc>
        <w:tc>
          <w:tcPr>
            <w:tcW w:w="1620" w:type="dxa"/>
          </w:tcPr>
          <w:p w14:paraId="37500AC0" w14:textId="77777777" w:rsidR="00C92E14" w:rsidRPr="00937662" w:rsidRDefault="00C92E14" w:rsidP="00C92E14"/>
        </w:tc>
        <w:tc>
          <w:tcPr>
            <w:tcW w:w="1260" w:type="dxa"/>
          </w:tcPr>
          <w:p w14:paraId="14B943FD" w14:textId="77777777" w:rsidR="00C92E14" w:rsidRPr="00937662" w:rsidRDefault="00C92E14" w:rsidP="00C92E14"/>
        </w:tc>
      </w:tr>
      <w:tr w:rsidR="00C92E14" w:rsidRPr="00937662" w14:paraId="68BB9E1E" w14:textId="77777777" w:rsidTr="003E4E3B">
        <w:trPr>
          <w:trHeight w:val="325"/>
        </w:trPr>
        <w:tc>
          <w:tcPr>
            <w:tcW w:w="1350" w:type="dxa"/>
            <w:vMerge/>
          </w:tcPr>
          <w:p w14:paraId="0C2BC3F0" w14:textId="77777777" w:rsidR="00C92E14" w:rsidRPr="00937662" w:rsidRDefault="00C92E14" w:rsidP="00C92E14"/>
        </w:tc>
        <w:tc>
          <w:tcPr>
            <w:tcW w:w="2970" w:type="dxa"/>
          </w:tcPr>
          <w:p w14:paraId="0608820B" w14:textId="77777777" w:rsidR="00C92E14" w:rsidRPr="00937662" w:rsidRDefault="00C92E14" w:rsidP="00C92E14">
            <w:r w:rsidRPr="00937662">
              <w:t>A do të krijohen biznese të reja?</w:t>
            </w:r>
          </w:p>
        </w:tc>
        <w:tc>
          <w:tcPr>
            <w:tcW w:w="630" w:type="dxa"/>
          </w:tcPr>
          <w:p w14:paraId="0F7187C9" w14:textId="77777777" w:rsidR="00C92E14" w:rsidRPr="00937662" w:rsidRDefault="00C92E14" w:rsidP="00C92E14"/>
        </w:tc>
        <w:tc>
          <w:tcPr>
            <w:tcW w:w="630" w:type="dxa"/>
          </w:tcPr>
          <w:p w14:paraId="1172EECF" w14:textId="77777777" w:rsidR="00C92E14" w:rsidRPr="00937662" w:rsidRDefault="00C92E14" w:rsidP="00C92E14">
            <w:r w:rsidRPr="00937662">
              <w:t>x</w:t>
            </w:r>
          </w:p>
        </w:tc>
        <w:tc>
          <w:tcPr>
            <w:tcW w:w="1530" w:type="dxa"/>
          </w:tcPr>
          <w:p w14:paraId="014024F0" w14:textId="77777777" w:rsidR="00C92E14" w:rsidRPr="00937662" w:rsidRDefault="00C92E14" w:rsidP="00C92E14"/>
        </w:tc>
        <w:tc>
          <w:tcPr>
            <w:tcW w:w="1620" w:type="dxa"/>
          </w:tcPr>
          <w:p w14:paraId="14D5C556" w14:textId="77777777" w:rsidR="00C92E14" w:rsidRPr="00937662" w:rsidRDefault="00C92E14" w:rsidP="00C92E14"/>
        </w:tc>
        <w:tc>
          <w:tcPr>
            <w:tcW w:w="1260" w:type="dxa"/>
          </w:tcPr>
          <w:p w14:paraId="680025EB" w14:textId="77777777" w:rsidR="00C92E14" w:rsidRPr="00937662" w:rsidRDefault="00C92E14" w:rsidP="00C92E14"/>
        </w:tc>
      </w:tr>
      <w:tr w:rsidR="00C92E14" w:rsidRPr="00937662" w14:paraId="208DAFD0" w14:textId="77777777" w:rsidTr="003E4E3B">
        <w:tc>
          <w:tcPr>
            <w:tcW w:w="1350" w:type="dxa"/>
            <w:vMerge w:val="restart"/>
          </w:tcPr>
          <w:p w14:paraId="00ADE315" w14:textId="77777777" w:rsidR="00C92E14" w:rsidRPr="00937662" w:rsidRDefault="00C92E14" w:rsidP="00C92E14">
            <w:r w:rsidRPr="00937662">
              <w:t>Barra administrative</w:t>
            </w:r>
          </w:p>
        </w:tc>
        <w:tc>
          <w:tcPr>
            <w:tcW w:w="2970" w:type="dxa"/>
          </w:tcPr>
          <w:p w14:paraId="29ED4B9C" w14:textId="77777777" w:rsidR="00C92E14" w:rsidRPr="00937662" w:rsidRDefault="00C92E14" w:rsidP="00C92E14">
            <w:r w:rsidRPr="00937662">
              <w:t>A parashihen obligime që bizneset të ofrojnë informata të reja?</w:t>
            </w:r>
          </w:p>
        </w:tc>
        <w:tc>
          <w:tcPr>
            <w:tcW w:w="630" w:type="dxa"/>
          </w:tcPr>
          <w:p w14:paraId="0F7A753F" w14:textId="77777777" w:rsidR="00C92E14" w:rsidRPr="00937662" w:rsidRDefault="00C92E14" w:rsidP="00C92E14"/>
        </w:tc>
        <w:tc>
          <w:tcPr>
            <w:tcW w:w="630" w:type="dxa"/>
          </w:tcPr>
          <w:p w14:paraId="67F09B22" w14:textId="77777777" w:rsidR="00C92E14" w:rsidRPr="00937662" w:rsidRDefault="00C92E14" w:rsidP="00C92E14">
            <w:r w:rsidRPr="00937662">
              <w:t>x</w:t>
            </w:r>
          </w:p>
        </w:tc>
        <w:tc>
          <w:tcPr>
            <w:tcW w:w="1530" w:type="dxa"/>
          </w:tcPr>
          <w:p w14:paraId="147C541D" w14:textId="77777777" w:rsidR="00C92E14" w:rsidRPr="00937662" w:rsidRDefault="00C92E14" w:rsidP="00C92E14"/>
        </w:tc>
        <w:tc>
          <w:tcPr>
            <w:tcW w:w="1620" w:type="dxa"/>
          </w:tcPr>
          <w:p w14:paraId="00B395C9" w14:textId="77777777" w:rsidR="00C92E14" w:rsidRPr="00937662" w:rsidRDefault="00C92E14" w:rsidP="00C92E14"/>
        </w:tc>
        <w:tc>
          <w:tcPr>
            <w:tcW w:w="1260" w:type="dxa"/>
          </w:tcPr>
          <w:p w14:paraId="0485EACF" w14:textId="77777777" w:rsidR="00C92E14" w:rsidRPr="00937662" w:rsidRDefault="00C92E14" w:rsidP="00C92E14"/>
        </w:tc>
      </w:tr>
      <w:tr w:rsidR="00C92E14" w:rsidRPr="00937662" w14:paraId="3B8A6CDA" w14:textId="77777777" w:rsidTr="003E4E3B">
        <w:tc>
          <w:tcPr>
            <w:tcW w:w="1350" w:type="dxa"/>
            <w:vMerge/>
          </w:tcPr>
          <w:p w14:paraId="769E8EC4" w14:textId="77777777" w:rsidR="00C92E14" w:rsidRPr="00937662" w:rsidRDefault="00C92E14" w:rsidP="00C92E14"/>
        </w:tc>
        <w:tc>
          <w:tcPr>
            <w:tcW w:w="2970" w:type="dxa"/>
          </w:tcPr>
          <w:p w14:paraId="3BD7EBB4" w14:textId="77777777" w:rsidR="00C92E14" w:rsidRPr="00937662" w:rsidRDefault="00C92E14" w:rsidP="00C92E14">
            <w:r w:rsidRPr="00937662">
              <w:t>A është thjeshtëzuar obligimi për të ofruar informatat e biznesit?</w:t>
            </w:r>
          </w:p>
        </w:tc>
        <w:tc>
          <w:tcPr>
            <w:tcW w:w="630" w:type="dxa"/>
          </w:tcPr>
          <w:p w14:paraId="657A293C" w14:textId="77777777" w:rsidR="00C92E14" w:rsidRPr="00937662" w:rsidRDefault="00C92E14" w:rsidP="00C92E14">
            <w:r w:rsidRPr="00937662">
              <w:t>x</w:t>
            </w:r>
          </w:p>
        </w:tc>
        <w:tc>
          <w:tcPr>
            <w:tcW w:w="630" w:type="dxa"/>
          </w:tcPr>
          <w:p w14:paraId="1A8CE2A1" w14:textId="77777777" w:rsidR="00C92E14" w:rsidRPr="00937662" w:rsidRDefault="00C92E14" w:rsidP="00C92E14"/>
        </w:tc>
        <w:tc>
          <w:tcPr>
            <w:tcW w:w="1530" w:type="dxa"/>
          </w:tcPr>
          <w:p w14:paraId="29DEE952" w14:textId="77777777" w:rsidR="00C92E14" w:rsidRPr="00937662" w:rsidRDefault="00C92E14" w:rsidP="00C92E14">
            <w:r w:rsidRPr="00937662">
              <w:t>E lartë</w:t>
            </w:r>
          </w:p>
        </w:tc>
        <w:tc>
          <w:tcPr>
            <w:tcW w:w="1620" w:type="dxa"/>
          </w:tcPr>
          <w:p w14:paraId="67A9B66B" w14:textId="77777777" w:rsidR="00C92E14" w:rsidRPr="00937662" w:rsidRDefault="00C92E14" w:rsidP="00C92E14">
            <w:r w:rsidRPr="00937662">
              <w:t>E ulët</w:t>
            </w:r>
          </w:p>
        </w:tc>
        <w:tc>
          <w:tcPr>
            <w:tcW w:w="1260" w:type="dxa"/>
          </w:tcPr>
          <w:p w14:paraId="74C81995" w14:textId="77777777" w:rsidR="00C92E14" w:rsidRPr="00937662" w:rsidRDefault="00C92E14" w:rsidP="00C92E14"/>
        </w:tc>
      </w:tr>
      <w:tr w:rsidR="00C92E14" w:rsidRPr="00937662" w14:paraId="0FF7AF1F" w14:textId="77777777" w:rsidTr="003E4E3B">
        <w:tc>
          <w:tcPr>
            <w:tcW w:w="1350" w:type="dxa"/>
            <w:vMerge w:val="restart"/>
          </w:tcPr>
          <w:p w14:paraId="487ECD9F" w14:textId="77777777" w:rsidR="00C92E14" w:rsidRPr="00937662" w:rsidRDefault="00C92E14" w:rsidP="00C92E14">
            <w:r w:rsidRPr="00937662">
              <w:t>Tregtia</w:t>
            </w:r>
          </w:p>
        </w:tc>
        <w:tc>
          <w:tcPr>
            <w:tcW w:w="2970" w:type="dxa"/>
          </w:tcPr>
          <w:p w14:paraId="43A33237" w14:textId="77777777" w:rsidR="00C92E14" w:rsidRPr="00937662" w:rsidRDefault="00C92E14" w:rsidP="00C92E14">
            <w:r w:rsidRPr="00937662">
              <w:t>A pritet të ndryshojnë rrjedhat aktuale të importit?</w:t>
            </w:r>
          </w:p>
        </w:tc>
        <w:tc>
          <w:tcPr>
            <w:tcW w:w="630" w:type="dxa"/>
          </w:tcPr>
          <w:p w14:paraId="66CA3F92" w14:textId="77777777" w:rsidR="00C92E14" w:rsidRPr="00937662" w:rsidRDefault="00C92E14" w:rsidP="00C92E14"/>
        </w:tc>
        <w:tc>
          <w:tcPr>
            <w:tcW w:w="630" w:type="dxa"/>
          </w:tcPr>
          <w:p w14:paraId="77F5AAD6" w14:textId="77777777" w:rsidR="00C92E14" w:rsidRPr="00937662" w:rsidRDefault="00C92E14" w:rsidP="00C92E14">
            <w:r w:rsidRPr="00937662">
              <w:t>x</w:t>
            </w:r>
          </w:p>
        </w:tc>
        <w:tc>
          <w:tcPr>
            <w:tcW w:w="1530" w:type="dxa"/>
          </w:tcPr>
          <w:p w14:paraId="26A7DC0A" w14:textId="77777777" w:rsidR="00C92E14" w:rsidRPr="00937662" w:rsidRDefault="00C92E14" w:rsidP="00C92E14"/>
        </w:tc>
        <w:tc>
          <w:tcPr>
            <w:tcW w:w="1620" w:type="dxa"/>
          </w:tcPr>
          <w:p w14:paraId="10B12EB2" w14:textId="77777777" w:rsidR="00C92E14" w:rsidRPr="00937662" w:rsidRDefault="00C92E14" w:rsidP="00C92E14"/>
        </w:tc>
        <w:tc>
          <w:tcPr>
            <w:tcW w:w="1260" w:type="dxa"/>
          </w:tcPr>
          <w:p w14:paraId="78592BF1" w14:textId="77777777" w:rsidR="00C92E14" w:rsidRPr="00937662" w:rsidRDefault="00C92E14" w:rsidP="00C92E14"/>
        </w:tc>
      </w:tr>
      <w:tr w:rsidR="00C92E14" w:rsidRPr="00937662" w14:paraId="7DDC56C2" w14:textId="77777777" w:rsidTr="003E4E3B">
        <w:tc>
          <w:tcPr>
            <w:tcW w:w="1350" w:type="dxa"/>
            <w:vMerge/>
          </w:tcPr>
          <w:p w14:paraId="2C05E166" w14:textId="77777777" w:rsidR="00C92E14" w:rsidRPr="00937662" w:rsidRDefault="00C92E14" w:rsidP="00C92E14"/>
        </w:tc>
        <w:tc>
          <w:tcPr>
            <w:tcW w:w="2970" w:type="dxa"/>
          </w:tcPr>
          <w:p w14:paraId="78A4D52D" w14:textId="77777777" w:rsidR="00C92E14" w:rsidRPr="00937662" w:rsidRDefault="00C92E14" w:rsidP="00C92E14">
            <w:r w:rsidRPr="00937662">
              <w:t>A pritet të ndryshojnë rrjedhat aktuale të eksportit?</w:t>
            </w:r>
          </w:p>
        </w:tc>
        <w:tc>
          <w:tcPr>
            <w:tcW w:w="630" w:type="dxa"/>
          </w:tcPr>
          <w:p w14:paraId="6693185B" w14:textId="77777777" w:rsidR="00C92E14" w:rsidRPr="00937662" w:rsidRDefault="00C92E14" w:rsidP="00C92E14"/>
        </w:tc>
        <w:tc>
          <w:tcPr>
            <w:tcW w:w="630" w:type="dxa"/>
          </w:tcPr>
          <w:p w14:paraId="341A4263" w14:textId="77777777" w:rsidR="00C92E14" w:rsidRPr="00937662" w:rsidRDefault="00C92E14" w:rsidP="00C92E14">
            <w:r w:rsidRPr="00937662">
              <w:t>x</w:t>
            </w:r>
          </w:p>
        </w:tc>
        <w:tc>
          <w:tcPr>
            <w:tcW w:w="1530" w:type="dxa"/>
          </w:tcPr>
          <w:p w14:paraId="6E7195F2" w14:textId="77777777" w:rsidR="00C92E14" w:rsidRPr="00937662" w:rsidRDefault="00C92E14" w:rsidP="00C92E14"/>
        </w:tc>
        <w:tc>
          <w:tcPr>
            <w:tcW w:w="1620" w:type="dxa"/>
          </w:tcPr>
          <w:p w14:paraId="169257C8" w14:textId="77777777" w:rsidR="00C92E14" w:rsidRPr="00937662" w:rsidRDefault="00C92E14" w:rsidP="00C92E14"/>
        </w:tc>
        <w:tc>
          <w:tcPr>
            <w:tcW w:w="1260" w:type="dxa"/>
          </w:tcPr>
          <w:p w14:paraId="073E58AB" w14:textId="77777777" w:rsidR="00C92E14" w:rsidRPr="00937662" w:rsidRDefault="00C92E14" w:rsidP="00C92E14"/>
        </w:tc>
      </w:tr>
      <w:tr w:rsidR="00C92E14" w:rsidRPr="00937662" w14:paraId="6DB6E7AD" w14:textId="77777777" w:rsidTr="003E4E3B">
        <w:tc>
          <w:tcPr>
            <w:tcW w:w="1350" w:type="dxa"/>
            <w:vMerge w:val="restart"/>
          </w:tcPr>
          <w:p w14:paraId="08F94AFD" w14:textId="77777777" w:rsidR="00C92E14" w:rsidRPr="00937662" w:rsidRDefault="00C92E14" w:rsidP="00C92E14">
            <w:r w:rsidRPr="00937662">
              <w:t>Transporti</w:t>
            </w:r>
          </w:p>
        </w:tc>
        <w:tc>
          <w:tcPr>
            <w:tcW w:w="2970" w:type="dxa"/>
          </w:tcPr>
          <w:p w14:paraId="5EBE7EC9" w14:textId="77777777" w:rsidR="00C92E14" w:rsidRPr="00937662" w:rsidRDefault="00C92E14" w:rsidP="00C92E14">
            <w:r w:rsidRPr="00937662">
              <w:t>A do të ndikojë në mënyrën e transportimit të udhëtarëve dhe / ose mallrave?</w:t>
            </w:r>
          </w:p>
        </w:tc>
        <w:tc>
          <w:tcPr>
            <w:tcW w:w="630" w:type="dxa"/>
          </w:tcPr>
          <w:p w14:paraId="4D12CBAC" w14:textId="77777777" w:rsidR="00C92E14" w:rsidRPr="00937662" w:rsidRDefault="00C92E14" w:rsidP="00C92E14"/>
        </w:tc>
        <w:tc>
          <w:tcPr>
            <w:tcW w:w="630" w:type="dxa"/>
          </w:tcPr>
          <w:p w14:paraId="651C597A" w14:textId="77777777" w:rsidR="00C92E14" w:rsidRPr="00937662" w:rsidRDefault="00C92E14" w:rsidP="00C92E14">
            <w:r w:rsidRPr="00937662">
              <w:t>x</w:t>
            </w:r>
          </w:p>
        </w:tc>
        <w:tc>
          <w:tcPr>
            <w:tcW w:w="1530" w:type="dxa"/>
          </w:tcPr>
          <w:p w14:paraId="0BA18EEA" w14:textId="77777777" w:rsidR="00C92E14" w:rsidRPr="00937662" w:rsidRDefault="00C92E14" w:rsidP="00C92E14"/>
        </w:tc>
        <w:tc>
          <w:tcPr>
            <w:tcW w:w="1620" w:type="dxa"/>
          </w:tcPr>
          <w:p w14:paraId="4FF46892" w14:textId="77777777" w:rsidR="00C92E14" w:rsidRPr="00937662" w:rsidRDefault="00C92E14" w:rsidP="00C92E14"/>
        </w:tc>
        <w:tc>
          <w:tcPr>
            <w:tcW w:w="1260" w:type="dxa"/>
          </w:tcPr>
          <w:p w14:paraId="6E5C8067" w14:textId="77777777" w:rsidR="00C92E14" w:rsidRPr="00937662" w:rsidRDefault="00C92E14" w:rsidP="00C92E14"/>
        </w:tc>
      </w:tr>
      <w:tr w:rsidR="00C92E14" w:rsidRPr="00937662" w14:paraId="0739E5EF" w14:textId="77777777" w:rsidTr="003E4E3B">
        <w:tc>
          <w:tcPr>
            <w:tcW w:w="1350" w:type="dxa"/>
            <w:vMerge/>
          </w:tcPr>
          <w:p w14:paraId="1CE2C638" w14:textId="77777777" w:rsidR="00C92E14" w:rsidRPr="00937662" w:rsidRDefault="00C92E14" w:rsidP="00C92E14"/>
        </w:tc>
        <w:tc>
          <w:tcPr>
            <w:tcW w:w="2970" w:type="dxa"/>
          </w:tcPr>
          <w:p w14:paraId="42DB1B40" w14:textId="77777777" w:rsidR="00C92E14" w:rsidRPr="00937662" w:rsidRDefault="00C92E14" w:rsidP="00C92E14">
            <w:r w:rsidRPr="00937662">
              <w:t>A do të ketë ndonjë ndryshim në kohën e nevojshme për të transportuar udhëtarë dhe / ose mallra?</w:t>
            </w:r>
          </w:p>
        </w:tc>
        <w:tc>
          <w:tcPr>
            <w:tcW w:w="630" w:type="dxa"/>
          </w:tcPr>
          <w:p w14:paraId="6AB135F9" w14:textId="77777777" w:rsidR="00C92E14" w:rsidRPr="00937662" w:rsidRDefault="00C92E14" w:rsidP="00C92E14"/>
        </w:tc>
        <w:tc>
          <w:tcPr>
            <w:tcW w:w="630" w:type="dxa"/>
          </w:tcPr>
          <w:p w14:paraId="2B70757D" w14:textId="77777777" w:rsidR="00C92E14" w:rsidRPr="00937662" w:rsidRDefault="00C92E14" w:rsidP="00C92E14">
            <w:r w:rsidRPr="00937662">
              <w:t>x</w:t>
            </w:r>
          </w:p>
        </w:tc>
        <w:tc>
          <w:tcPr>
            <w:tcW w:w="1530" w:type="dxa"/>
          </w:tcPr>
          <w:p w14:paraId="145802B2" w14:textId="77777777" w:rsidR="00C92E14" w:rsidRPr="00937662" w:rsidRDefault="00C92E14" w:rsidP="00C92E14"/>
        </w:tc>
        <w:tc>
          <w:tcPr>
            <w:tcW w:w="1620" w:type="dxa"/>
          </w:tcPr>
          <w:p w14:paraId="0F6C28AE" w14:textId="77777777" w:rsidR="00C92E14" w:rsidRPr="00937662" w:rsidRDefault="00C92E14" w:rsidP="00C92E14"/>
        </w:tc>
        <w:tc>
          <w:tcPr>
            <w:tcW w:w="1260" w:type="dxa"/>
          </w:tcPr>
          <w:p w14:paraId="43614FA9" w14:textId="77777777" w:rsidR="00C92E14" w:rsidRPr="00937662" w:rsidRDefault="00C92E14" w:rsidP="00C92E14"/>
        </w:tc>
      </w:tr>
      <w:tr w:rsidR="00C92E14" w:rsidRPr="00937662" w14:paraId="4313A2CB" w14:textId="77777777" w:rsidTr="003E4E3B">
        <w:tc>
          <w:tcPr>
            <w:tcW w:w="1350" w:type="dxa"/>
            <w:vMerge w:val="restart"/>
          </w:tcPr>
          <w:p w14:paraId="5336A5A4" w14:textId="77777777" w:rsidR="00C92E14" w:rsidRPr="00937662" w:rsidRDefault="00C92E14" w:rsidP="00C92E14">
            <w:r w:rsidRPr="00937662">
              <w:lastRenderedPageBreak/>
              <w:t>Investimet</w:t>
            </w:r>
          </w:p>
        </w:tc>
        <w:tc>
          <w:tcPr>
            <w:tcW w:w="2970" w:type="dxa"/>
          </w:tcPr>
          <w:p w14:paraId="727D57AC" w14:textId="77777777" w:rsidR="00C92E14" w:rsidRPr="00937662" w:rsidRDefault="00C92E14" w:rsidP="00C92E14">
            <w:r w:rsidRPr="00937662">
              <w:t>A pritet që kompanitë të investojnë në aktivitete të reja?</w:t>
            </w:r>
          </w:p>
        </w:tc>
        <w:tc>
          <w:tcPr>
            <w:tcW w:w="630" w:type="dxa"/>
          </w:tcPr>
          <w:p w14:paraId="4D994C2F" w14:textId="77777777" w:rsidR="00C92E14" w:rsidRPr="00937662" w:rsidRDefault="00C92E14" w:rsidP="00C92E14"/>
        </w:tc>
        <w:tc>
          <w:tcPr>
            <w:tcW w:w="630" w:type="dxa"/>
          </w:tcPr>
          <w:p w14:paraId="0D0C73BB" w14:textId="77777777" w:rsidR="00C92E14" w:rsidRPr="00937662" w:rsidRDefault="00C92E14" w:rsidP="00C92E14">
            <w:r w:rsidRPr="00937662">
              <w:t>x</w:t>
            </w:r>
          </w:p>
        </w:tc>
        <w:tc>
          <w:tcPr>
            <w:tcW w:w="1530" w:type="dxa"/>
          </w:tcPr>
          <w:p w14:paraId="31C07971" w14:textId="77777777" w:rsidR="00C92E14" w:rsidRPr="00937662" w:rsidRDefault="00C92E14" w:rsidP="00C92E14"/>
        </w:tc>
        <w:tc>
          <w:tcPr>
            <w:tcW w:w="1620" w:type="dxa"/>
          </w:tcPr>
          <w:p w14:paraId="3FFFB9D8" w14:textId="77777777" w:rsidR="00C92E14" w:rsidRPr="00937662" w:rsidRDefault="00C92E14" w:rsidP="00C92E14"/>
        </w:tc>
        <w:tc>
          <w:tcPr>
            <w:tcW w:w="1260" w:type="dxa"/>
          </w:tcPr>
          <w:p w14:paraId="50896C7C" w14:textId="77777777" w:rsidR="00C92E14" w:rsidRPr="00937662" w:rsidRDefault="00C92E14" w:rsidP="00C92E14"/>
        </w:tc>
      </w:tr>
      <w:tr w:rsidR="00C92E14" w:rsidRPr="00937662" w14:paraId="5452D305" w14:textId="77777777" w:rsidTr="003E4E3B">
        <w:tc>
          <w:tcPr>
            <w:tcW w:w="1350" w:type="dxa"/>
            <w:vMerge/>
          </w:tcPr>
          <w:p w14:paraId="6359261A" w14:textId="77777777" w:rsidR="00C92E14" w:rsidRPr="00937662" w:rsidRDefault="00C92E14" w:rsidP="00C92E14"/>
        </w:tc>
        <w:tc>
          <w:tcPr>
            <w:tcW w:w="2970" w:type="dxa"/>
          </w:tcPr>
          <w:p w14:paraId="6E17A3E9" w14:textId="77777777" w:rsidR="00C92E14" w:rsidRPr="00937662" w:rsidRDefault="00C92E14" w:rsidP="00C92E14">
            <w:r w:rsidRPr="00937662">
              <w:t>A pritet që kompanitë të anulojnë ose shtyjnë investimet për më vonë?</w:t>
            </w:r>
          </w:p>
        </w:tc>
        <w:tc>
          <w:tcPr>
            <w:tcW w:w="630" w:type="dxa"/>
          </w:tcPr>
          <w:p w14:paraId="1BF81423" w14:textId="77777777" w:rsidR="00C92E14" w:rsidRPr="00937662" w:rsidRDefault="00C92E14" w:rsidP="00C92E14"/>
        </w:tc>
        <w:tc>
          <w:tcPr>
            <w:tcW w:w="630" w:type="dxa"/>
          </w:tcPr>
          <w:p w14:paraId="17294B2C" w14:textId="77777777" w:rsidR="00C92E14" w:rsidRPr="00937662" w:rsidRDefault="00C92E14" w:rsidP="00C92E14">
            <w:r w:rsidRPr="00937662">
              <w:t>x</w:t>
            </w:r>
          </w:p>
        </w:tc>
        <w:tc>
          <w:tcPr>
            <w:tcW w:w="1530" w:type="dxa"/>
          </w:tcPr>
          <w:p w14:paraId="2635A343" w14:textId="77777777" w:rsidR="00C92E14" w:rsidRPr="00937662" w:rsidRDefault="00C92E14" w:rsidP="00C92E14"/>
        </w:tc>
        <w:tc>
          <w:tcPr>
            <w:tcW w:w="1620" w:type="dxa"/>
          </w:tcPr>
          <w:p w14:paraId="72C517BB" w14:textId="77777777" w:rsidR="00C92E14" w:rsidRPr="00937662" w:rsidRDefault="00C92E14" w:rsidP="00C92E14"/>
        </w:tc>
        <w:tc>
          <w:tcPr>
            <w:tcW w:w="1260" w:type="dxa"/>
          </w:tcPr>
          <w:p w14:paraId="0E2C4B56" w14:textId="77777777" w:rsidR="00C92E14" w:rsidRPr="00937662" w:rsidRDefault="00C92E14" w:rsidP="00C92E14"/>
        </w:tc>
      </w:tr>
      <w:tr w:rsidR="00C92E14" w:rsidRPr="00937662" w14:paraId="40CF18DB" w14:textId="77777777" w:rsidTr="003E4E3B">
        <w:tc>
          <w:tcPr>
            <w:tcW w:w="1350" w:type="dxa"/>
            <w:vMerge/>
          </w:tcPr>
          <w:p w14:paraId="08764A2D" w14:textId="77777777" w:rsidR="00C92E14" w:rsidRPr="00937662" w:rsidRDefault="00C92E14" w:rsidP="00C92E14"/>
        </w:tc>
        <w:tc>
          <w:tcPr>
            <w:tcW w:w="2970" w:type="dxa"/>
          </w:tcPr>
          <w:p w14:paraId="3D084E47" w14:textId="77777777" w:rsidR="00C92E14" w:rsidRPr="00937662" w:rsidRDefault="00C92E14" w:rsidP="00C92E14">
            <w:r w:rsidRPr="00937662">
              <w:t>A do të rriten investimet e Diasporës?</w:t>
            </w:r>
          </w:p>
        </w:tc>
        <w:tc>
          <w:tcPr>
            <w:tcW w:w="630" w:type="dxa"/>
          </w:tcPr>
          <w:p w14:paraId="02AFE0E6" w14:textId="77777777" w:rsidR="00C92E14" w:rsidRPr="00937662" w:rsidRDefault="00C92E14" w:rsidP="00C92E14"/>
        </w:tc>
        <w:tc>
          <w:tcPr>
            <w:tcW w:w="630" w:type="dxa"/>
          </w:tcPr>
          <w:p w14:paraId="305388A2" w14:textId="77777777" w:rsidR="00C92E14" w:rsidRPr="00937662" w:rsidRDefault="00C92E14" w:rsidP="00C92E14">
            <w:r w:rsidRPr="00937662">
              <w:t>x</w:t>
            </w:r>
          </w:p>
        </w:tc>
        <w:tc>
          <w:tcPr>
            <w:tcW w:w="1530" w:type="dxa"/>
          </w:tcPr>
          <w:p w14:paraId="0FAD87B9" w14:textId="77777777" w:rsidR="00C92E14" w:rsidRPr="00937662" w:rsidRDefault="00C92E14" w:rsidP="00C92E14"/>
        </w:tc>
        <w:tc>
          <w:tcPr>
            <w:tcW w:w="1620" w:type="dxa"/>
          </w:tcPr>
          <w:p w14:paraId="0F3C78A9" w14:textId="77777777" w:rsidR="00C92E14" w:rsidRPr="00937662" w:rsidRDefault="00C92E14" w:rsidP="00C92E14"/>
        </w:tc>
        <w:tc>
          <w:tcPr>
            <w:tcW w:w="1260" w:type="dxa"/>
          </w:tcPr>
          <w:p w14:paraId="1DEDA491" w14:textId="77777777" w:rsidR="00C92E14" w:rsidRPr="00937662" w:rsidRDefault="00C92E14" w:rsidP="00C92E14"/>
        </w:tc>
      </w:tr>
      <w:tr w:rsidR="00C92E14" w:rsidRPr="00937662" w14:paraId="2F32BB02" w14:textId="77777777" w:rsidTr="003E4E3B">
        <w:tc>
          <w:tcPr>
            <w:tcW w:w="1350" w:type="dxa"/>
            <w:vMerge/>
          </w:tcPr>
          <w:p w14:paraId="63F95CA7" w14:textId="77777777" w:rsidR="00C92E14" w:rsidRPr="00937662" w:rsidRDefault="00C92E14" w:rsidP="00C92E14"/>
        </w:tc>
        <w:tc>
          <w:tcPr>
            <w:tcW w:w="2970" w:type="dxa"/>
          </w:tcPr>
          <w:p w14:paraId="70645D5D" w14:textId="77777777" w:rsidR="00C92E14" w:rsidRPr="00937662" w:rsidRDefault="00C92E14" w:rsidP="00C92E14">
            <w:r w:rsidRPr="00937662">
              <w:t>A do të ulen investimet e Diasporës?</w:t>
            </w:r>
          </w:p>
        </w:tc>
        <w:tc>
          <w:tcPr>
            <w:tcW w:w="630" w:type="dxa"/>
          </w:tcPr>
          <w:p w14:paraId="555EABCD" w14:textId="77777777" w:rsidR="00C92E14" w:rsidRPr="00937662" w:rsidRDefault="00C92E14" w:rsidP="00C92E14"/>
        </w:tc>
        <w:tc>
          <w:tcPr>
            <w:tcW w:w="630" w:type="dxa"/>
          </w:tcPr>
          <w:p w14:paraId="2BF1AA6B" w14:textId="77777777" w:rsidR="00C92E14" w:rsidRPr="00937662" w:rsidRDefault="00C92E14" w:rsidP="00C92E14">
            <w:r w:rsidRPr="00937662">
              <w:t>x</w:t>
            </w:r>
          </w:p>
        </w:tc>
        <w:tc>
          <w:tcPr>
            <w:tcW w:w="1530" w:type="dxa"/>
          </w:tcPr>
          <w:p w14:paraId="7123A7A1" w14:textId="77777777" w:rsidR="00C92E14" w:rsidRPr="00937662" w:rsidRDefault="00C92E14" w:rsidP="00C92E14"/>
        </w:tc>
        <w:tc>
          <w:tcPr>
            <w:tcW w:w="1620" w:type="dxa"/>
          </w:tcPr>
          <w:p w14:paraId="7FE2C6BE" w14:textId="77777777" w:rsidR="00C92E14" w:rsidRPr="00937662" w:rsidRDefault="00C92E14" w:rsidP="00C92E14"/>
        </w:tc>
        <w:tc>
          <w:tcPr>
            <w:tcW w:w="1260" w:type="dxa"/>
          </w:tcPr>
          <w:p w14:paraId="39EF5F95" w14:textId="77777777" w:rsidR="00C92E14" w:rsidRPr="00937662" w:rsidRDefault="00C92E14" w:rsidP="00C92E14"/>
        </w:tc>
      </w:tr>
      <w:tr w:rsidR="00C92E14" w:rsidRPr="00937662" w14:paraId="3E5A27E9" w14:textId="77777777" w:rsidTr="003E4E3B">
        <w:tc>
          <w:tcPr>
            <w:tcW w:w="1350" w:type="dxa"/>
            <w:vMerge/>
          </w:tcPr>
          <w:p w14:paraId="483D1A70" w14:textId="77777777" w:rsidR="00C92E14" w:rsidRPr="00937662" w:rsidRDefault="00C92E14" w:rsidP="00C92E14"/>
        </w:tc>
        <w:tc>
          <w:tcPr>
            <w:tcW w:w="2970" w:type="dxa"/>
          </w:tcPr>
          <w:p w14:paraId="6B2C04F0" w14:textId="77777777" w:rsidR="00C92E14" w:rsidRPr="00937662" w:rsidRDefault="00C92E14" w:rsidP="00C92E14">
            <w:r w:rsidRPr="00937662">
              <w:t xml:space="preserve">A do të rriten investimet e huaja </w:t>
            </w:r>
            <w:proofErr w:type="spellStart"/>
            <w:r w:rsidRPr="00937662">
              <w:t>direkte</w:t>
            </w:r>
            <w:proofErr w:type="spellEnd"/>
            <w:r w:rsidRPr="00937662">
              <w:t>?</w:t>
            </w:r>
          </w:p>
        </w:tc>
        <w:tc>
          <w:tcPr>
            <w:tcW w:w="630" w:type="dxa"/>
          </w:tcPr>
          <w:p w14:paraId="12C66B9E" w14:textId="77777777" w:rsidR="00C92E14" w:rsidRPr="00937662" w:rsidRDefault="00C92E14" w:rsidP="00C92E14"/>
        </w:tc>
        <w:tc>
          <w:tcPr>
            <w:tcW w:w="630" w:type="dxa"/>
          </w:tcPr>
          <w:p w14:paraId="611B4CC3" w14:textId="77777777" w:rsidR="00C92E14" w:rsidRPr="00937662" w:rsidRDefault="00C92E14" w:rsidP="00C92E14">
            <w:r w:rsidRPr="00937662">
              <w:t>x</w:t>
            </w:r>
          </w:p>
        </w:tc>
        <w:tc>
          <w:tcPr>
            <w:tcW w:w="1530" w:type="dxa"/>
          </w:tcPr>
          <w:p w14:paraId="6F5CAFCD" w14:textId="77777777" w:rsidR="00C92E14" w:rsidRPr="00937662" w:rsidRDefault="00C92E14" w:rsidP="00C92E14"/>
        </w:tc>
        <w:tc>
          <w:tcPr>
            <w:tcW w:w="1620" w:type="dxa"/>
          </w:tcPr>
          <w:p w14:paraId="51D138F1" w14:textId="77777777" w:rsidR="00C92E14" w:rsidRPr="00937662" w:rsidRDefault="00C92E14" w:rsidP="00C92E14"/>
        </w:tc>
        <w:tc>
          <w:tcPr>
            <w:tcW w:w="1260" w:type="dxa"/>
          </w:tcPr>
          <w:p w14:paraId="62825DED" w14:textId="77777777" w:rsidR="00C92E14" w:rsidRPr="00937662" w:rsidRDefault="00C92E14" w:rsidP="00C92E14"/>
        </w:tc>
      </w:tr>
      <w:tr w:rsidR="00C92E14" w:rsidRPr="00937662" w14:paraId="7A05D69F" w14:textId="77777777" w:rsidTr="003E4E3B">
        <w:tc>
          <w:tcPr>
            <w:tcW w:w="1350" w:type="dxa"/>
            <w:vMerge/>
          </w:tcPr>
          <w:p w14:paraId="23B9F52E" w14:textId="77777777" w:rsidR="00C92E14" w:rsidRPr="00937662" w:rsidRDefault="00C92E14" w:rsidP="00C92E14"/>
        </w:tc>
        <w:tc>
          <w:tcPr>
            <w:tcW w:w="2970" w:type="dxa"/>
          </w:tcPr>
          <w:p w14:paraId="2FFFAFE4" w14:textId="77777777" w:rsidR="00C92E14" w:rsidRPr="00937662" w:rsidRDefault="00C92E14" w:rsidP="00C92E14">
            <w:r w:rsidRPr="00937662">
              <w:t xml:space="preserve">A do të zvogëlohen investimet e huaja </w:t>
            </w:r>
            <w:proofErr w:type="spellStart"/>
            <w:r w:rsidRPr="00937662">
              <w:t>direkte</w:t>
            </w:r>
            <w:proofErr w:type="spellEnd"/>
            <w:r w:rsidRPr="00937662">
              <w:t>?</w:t>
            </w:r>
          </w:p>
        </w:tc>
        <w:tc>
          <w:tcPr>
            <w:tcW w:w="630" w:type="dxa"/>
          </w:tcPr>
          <w:p w14:paraId="7F0B90EC" w14:textId="77777777" w:rsidR="00C92E14" w:rsidRPr="00937662" w:rsidRDefault="00C92E14" w:rsidP="00C92E14"/>
        </w:tc>
        <w:tc>
          <w:tcPr>
            <w:tcW w:w="630" w:type="dxa"/>
          </w:tcPr>
          <w:p w14:paraId="79C3986E" w14:textId="77777777" w:rsidR="00C92E14" w:rsidRPr="00937662" w:rsidRDefault="00C92E14" w:rsidP="00C92E14">
            <w:r w:rsidRPr="00937662">
              <w:t>x</w:t>
            </w:r>
          </w:p>
        </w:tc>
        <w:tc>
          <w:tcPr>
            <w:tcW w:w="1530" w:type="dxa"/>
          </w:tcPr>
          <w:p w14:paraId="5FBBA6F9" w14:textId="77777777" w:rsidR="00C92E14" w:rsidRPr="00937662" w:rsidRDefault="00C92E14" w:rsidP="00C92E14"/>
        </w:tc>
        <w:tc>
          <w:tcPr>
            <w:tcW w:w="1620" w:type="dxa"/>
          </w:tcPr>
          <w:p w14:paraId="3D0197C4" w14:textId="77777777" w:rsidR="00C92E14" w:rsidRPr="00937662" w:rsidRDefault="00C92E14" w:rsidP="00C92E14"/>
        </w:tc>
        <w:tc>
          <w:tcPr>
            <w:tcW w:w="1260" w:type="dxa"/>
          </w:tcPr>
          <w:p w14:paraId="012816F8" w14:textId="77777777" w:rsidR="00C92E14" w:rsidRPr="00937662" w:rsidRDefault="00C92E14" w:rsidP="00C92E14"/>
        </w:tc>
      </w:tr>
      <w:tr w:rsidR="00C92E14" w:rsidRPr="00937662" w14:paraId="6347645F" w14:textId="77777777" w:rsidTr="003E4E3B">
        <w:tc>
          <w:tcPr>
            <w:tcW w:w="1350" w:type="dxa"/>
            <w:vMerge w:val="restart"/>
          </w:tcPr>
          <w:p w14:paraId="4D078A3F" w14:textId="2EB97271" w:rsidR="00C92E14" w:rsidRPr="00937662" w:rsidRDefault="004666C3" w:rsidP="00C92E14">
            <w:proofErr w:type="spellStart"/>
            <w:r w:rsidRPr="00937662">
              <w:t>Konkurr</w:t>
            </w:r>
            <w:r w:rsidR="00C92E14" w:rsidRPr="00937662">
              <w:t>ueshmëria</w:t>
            </w:r>
            <w:proofErr w:type="spellEnd"/>
            <w:r w:rsidR="00C92E14" w:rsidRPr="00937662">
              <w:t xml:space="preserve"> </w:t>
            </w:r>
          </w:p>
        </w:tc>
        <w:tc>
          <w:tcPr>
            <w:tcW w:w="2970" w:type="dxa"/>
          </w:tcPr>
          <w:p w14:paraId="354F7B43" w14:textId="77777777" w:rsidR="00C92E14" w:rsidRPr="00937662" w:rsidRDefault="00C92E14" w:rsidP="00C92E14">
            <w:r w:rsidRPr="00937662">
              <w:t>A do të rritet çmimi afarist i produkteve, siç është energjia elektrike?</w:t>
            </w:r>
          </w:p>
        </w:tc>
        <w:tc>
          <w:tcPr>
            <w:tcW w:w="630" w:type="dxa"/>
          </w:tcPr>
          <w:p w14:paraId="45389427" w14:textId="77777777" w:rsidR="00C92E14" w:rsidRPr="00937662" w:rsidRDefault="00C92E14" w:rsidP="00C92E14"/>
        </w:tc>
        <w:tc>
          <w:tcPr>
            <w:tcW w:w="630" w:type="dxa"/>
          </w:tcPr>
          <w:p w14:paraId="26987BB4" w14:textId="77777777" w:rsidR="00C92E14" w:rsidRPr="00937662" w:rsidRDefault="00C92E14" w:rsidP="00C92E14">
            <w:r w:rsidRPr="00937662">
              <w:t>x</w:t>
            </w:r>
          </w:p>
        </w:tc>
        <w:tc>
          <w:tcPr>
            <w:tcW w:w="1530" w:type="dxa"/>
          </w:tcPr>
          <w:p w14:paraId="42CE7292" w14:textId="77777777" w:rsidR="00C92E14" w:rsidRPr="00937662" w:rsidRDefault="00C92E14" w:rsidP="00C92E14"/>
        </w:tc>
        <w:tc>
          <w:tcPr>
            <w:tcW w:w="1620" w:type="dxa"/>
          </w:tcPr>
          <w:p w14:paraId="050E1E23" w14:textId="77777777" w:rsidR="00C92E14" w:rsidRPr="00937662" w:rsidRDefault="00C92E14" w:rsidP="00C92E14"/>
        </w:tc>
        <w:tc>
          <w:tcPr>
            <w:tcW w:w="1260" w:type="dxa"/>
          </w:tcPr>
          <w:p w14:paraId="09A6E90E" w14:textId="77777777" w:rsidR="00C92E14" w:rsidRPr="00937662" w:rsidRDefault="00C92E14" w:rsidP="00C92E14"/>
        </w:tc>
      </w:tr>
      <w:tr w:rsidR="00C92E14" w:rsidRPr="00937662" w14:paraId="50FCB391" w14:textId="77777777" w:rsidTr="003E4E3B">
        <w:tc>
          <w:tcPr>
            <w:tcW w:w="1350" w:type="dxa"/>
            <w:vMerge/>
          </w:tcPr>
          <w:p w14:paraId="44E289BF" w14:textId="77777777" w:rsidR="00C92E14" w:rsidRPr="00937662" w:rsidRDefault="00C92E14" w:rsidP="00C92E14"/>
        </w:tc>
        <w:tc>
          <w:tcPr>
            <w:tcW w:w="2970" w:type="dxa"/>
          </w:tcPr>
          <w:p w14:paraId="41CB3A2E" w14:textId="77777777" w:rsidR="00C92E14" w:rsidRPr="00937662" w:rsidRDefault="00C92E14" w:rsidP="00C92E14">
            <w:r w:rsidRPr="00937662">
              <w:t xml:space="preserve">A do të ulet çmimi i </w:t>
            </w:r>
            <w:proofErr w:type="spellStart"/>
            <w:r w:rsidRPr="00937662">
              <w:t>inputeve</w:t>
            </w:r>
            <w:proofErr w:type="spellEnd"/>
            <w:r w:rsidRPr="00937662">
              <w:t xml:space="preserve"> të biznesit, siç janë energjia elektrike?</w:t>
            </w:r>
          </w:p>
        </w:tc>
        <w:tc>
          <w:tcPr>
            <w:tcW w:w="630" w:type="dxa"/>
          </w:tcPr>
          <w:p w14:paraId="2C83CFBA" w14:textId="77777777" w:rsidR="00C92E14" w:rsidRPr="00937662" w:rsidRDefault="00C92E14" w:rsidP="00C92E14"/>
        </w:tc>
        <w:tc>
          <w:tcPr>
            <w:tcW w:w="630" w:type="dxa"/>
          </w:tcPr>
          <w:p w14:paraId="57C4E451" w14:textId="77777777" w:rsidR="00C92E14" w:rsidRPr="00937662" w:rsidRDefault="00C92E14" w:rsidP="00C92E14">
            <w:r w:rsidRPr="00937662">
              <w:t>x</w:t>
            </w:r>
          </w:p>
        </w:tc>
        <w:tc>
          <w:tcPr>
            <w:tcW w:w="1530" w:type="dxa"/>
          </w:tcPr>
          <w:p w14:paraId="3777D7C9" w14:textId="77777777" w:rsidR="00C92E14" w:rsidRPr="00937662" w:rsidRDefault="00C92E14" w:rsidP="00C92E14"/>
        </w:tc>
        <w:tc>
          <w:tcPr>
            <w:tcW w:w="1620" w:type="dxa"/>
          </w:tcPr>
          <w:p w14:paraId="0B9E0421" w14:textId="77777777" w:rsidR="00C92E14" w:rsidRPr="00937662" w:rsidRDefault="00C92E14" w:rsidP="00C92E14"/>
        </w:tc>
        <w:tc>
          <w:tcPr>
            <w:tcW w:w="1260" w:type="dxa"/>
          </w:tcPr>
          <w:p w14:paraId="48110BC1" w14:textId="77777777" w:rsidR="00C92E14" w:rsidRPr="00937662" w:rsidRDefault="00C92E14" w:rsidP="00C92E14"/>
        </w:tc>
      </w:tr>
      <w:tr w:rsidR="00C92E14" w:rsidRPr="00937662" w14:paraId="13D440C9" w14:textId="77777777" w:rsidTr="003E4E3B">
        <w:tc>
          <w:tcPr>
            <w:tcW w:w="1350" w:type="dxa"/>
            <w:vMerge/>
          </w:tcPr>
          <w:p w14:paraId="0981B452" w14:textId="77777777" w:rsidR="00C92E14" w:rsidRPr="00937662" w:rsidRDefault="00C92E14" w:rsidP="00C92E14"/>
        </w:tc>
        <w:tc>
          <w:tcPr>
            <w:tcW w:w="2970" w:type="dxa"/>
          </w:tcPr>
          <w:p w14:paraId="4FEF5DD1" w14:textId="77777777" w:rsidR="00C92E14" w:rsidRPr="00937662" w:rsidRDefault="00C92E14" w:rsidP="00C92E14">
            <w:r w:rsidRPr="00937662">
              <w:t>A ka gjasa të nxiten inovacioni dhe kërkimi?</w:t>
            </w:r>
          </w:p>
        </w:tc>
        <w:tc>
          <w:tcPr>
            <w:tcW w:w="630" w:type="dxa"/>
          </w:tcPr>
          <w:p w14:paraId="2CEF0553" w14:textId="77777777" w:rsidR="00C92E14" w:rsidRPr="00937662" w:rsidRDefault="00C92E14" w:rsidP="00C92E14"/>
        </w:tc>
        <w:tc>
          <w:tcPr>
            <w:tcW w:w="630" w:type="dxa"/>
          </w:tcPr>
          <w:p w14:paraId="68AC184B" w14:textId="77777777" w:rsidR="00C92E14" w:rsidRPr="00937662" w:rsidRDefault="00C92E14" w:rsidP="00C92E14">
            <w:r w:rsidRPr="00937662">
              <w:t>x</w:t>
            </w:r>
          </w:p>
        </w:tc>
        <w:tc>
          <w:tcPr>
            <w:tcW w:w="1530" w:type="dxa"/>
          </w:tcPr>
          <w:p w14:paraId="2D2CD89A" w14:textId="77777777" w:rsidR="00C92E14" w:rsidRPr="00937662" w:rsidRDefault="00C92E14" w:rsidP="00C92E14"/>
        </w:tc>
        <w:tc>
          <w:tcPr>
            <w:tcW w:w="1620" w:type="dxa"/>
          </w:tcPr>
          <w:p w14:paraId="2C7E603E" w14:textId="77777777" w:rsidR="00C92E14" w:rsidRPr="00937662" w:rsidRDefault="00C92E14" w:rsidP="00C92E14"/>
        </w:tc>
        <w:tc>
          <w:tcPr>
            <w:tcW w:w="1260" w:type="dxa"/>
          </w:tcPr>
          <w:p w14:paraId="073EEB44" w14:textId="77777777" w:rsidR="00C92E14" w:rsidRPr="00937662" w:rsidRDefault="00C92E14" w:rsidP="00C92E14"/>
        </w:tc>
      </w:tr>
      <w:tr w:rsidR="00C92E14" w:rsidRPr="00937662" w14:paraId="60991AD2" w14:textId="77777777" w:rsidTr="003E4E3B">
        <w:trPr>
          <w:trHeight w:val="701"/>
        </w:trPr>
        <w:tc>
          <w:tcPr>
            <w:tcW w:w="1350" w:type="dxa"/>
            <w:vMerge/>
          </w:tcPr>
          <w:p w14:paraId="50C61185" w14:textId="77777777" w:rsidR="00C92E14" w:rsidRPr="00937662" w:rsidRDefault="00C92E14" w:rsidP="00C92E14"/>
        </w:tc>
        <w:tc>
          <w:tcPr>
            <w:tcW w:w="2970" w:type="dxa"/>
          </w:tcPr>
          <w:p w14:paraId="599B057D" w14:textId="77777777" w:rsidR="00C92E14" w:rsidRPr="00937662" w:rsidRDefault="00C92E14" w:rsidP="00C92E14">
            <w:r w:rsidRPr="00937662">
              <w:t>A ka gjasa të pengohen inovacioni dhe kërkimi?</w:t>
            </w:r>
          </w:p>
        </w:tc>
        <w:tc>
          <w:tcPr>
            <w:tcW w:w="630" w:type="dxa"/>
          </w:tcPr>
          <w:p w14:paraId="2B2E7503" w14:textId="77777777" w:rsidR="00C92E14" w:rsidRPr="00937662" w:rsidRDefault="00C92E14" w:rsidP="00C92E14"/>
        </w:tc>
        <w:tc>
          <w:tcPr>
            <w:tcW w:w="630" w:type="dxa"/>
          </w:tcPr>
          <w:p w14:paraId="304BBD72" w14:textId="77777777" w:rsidR="00C92E14" w:rsidRPr="00937662" w:rsidRDefault="00C92E14" w:rsidP="00C92E14">
            <w:r w:rsidRPr="00937662">
              <w:t>x</w:t>
            </w:r>
          </w:p>
        </w:tc>
        <w:tc>
          <w:tcPr>
            <w:tcW w:w="1530" w:type="dxa"/>
          </w:tcPr>
          <w:p w14:paraId="64AF9195" w14:textId="77777777" w:rsidR="00C92E14" w:rsidRPr="00937662" w:rsidRDefault="00C92E14" w:rsidP="00C92E14"/>
        </w:tc>
        <w:tc>
          <w:tcPr>
            <w:tcW w:w="1620" w:type="dxa"/>
          </w:tcPr>
          <w:p w14:paraId="3E70F2CC" w14:textId="77777777" w:rsidR="00C92E14" w:rsidRPr="00937662" w:rsidRDefault="00C92E14" w:rsidP="00C92E14"/>
        </w:tc>
        <w:tc>
          <w:tcPr>
            <w:tcW w:w="1260" w:type="dxa"/>
          </w:tcPr>
          <w:p w14:paraId="0E1F44A5" w14:textId="77777777" w:rsidR="00C92E14" w:rsidRPr="00937662" w:rsidRDefault="00C92E14" w:rsidP="00C92E14"/>
        </w:tc>
      </w:tr>
      <w:tr w:rsidR="00C92E14" w:rsidRPr="00937662" w14:paraId="5E35556A" w14:textId="77777777" w:rsidTr="003E4E3B">
        <w:tc>
          <w:tcPr>
            <w:tcW w:w="1350" w:type="dxa"/>
          </w:tcPr>
          <w:p w14:paraId="6CA6E2EC" w14:textId="77777777" w:rsidR="00C92E14" w:rsidRPr="00937662" w:rsidRDefault="00C92E14" w:rsidP="00C92E14">
            <w:r w:rsidRPr="00937662">
              <w:t>Ndikimi në NVM-të</w:t>
            </w:r>
          </w:p>
        </w:tc>
        <w:tc>
          <w:tcPr>
            <w:tcW w:w="2970" w:type="dxa"/>
          </w:tcPr>
          <w:p w14:paraId="595C6282" w14:textId="77777777" w:rsidR="00C92E14" w:rsidRPr="00937662" w:rsidRDefault="00C92E14" w:rsidP="00C92E14">
            <w:r w:rsidRPr="00937662">
              <w:t>A janë NVM-të kryesisht në mesin e ndërmarrjeve të prekura?</w:t>
            </w:r>
          </w:p>
        </w:tc>
        <w:tc>
          <w:tcPr>
            <w:tcW w:w="630" w:type="dxa"/>
          </w:tcPr>
          <w:p w14:paraId="483BE8EC" w14:textId="77777777" w:rsidR="00C92E14" w:rsidRPr="00937662" w:rsidRDefault="00C92E14" w:rsidP="00C92E14">
            <w:r w:rsidRPr="00937662">
              <w:t>x</w:t>
            </w:r>
          </w:p>
        </w:tc>
        <w:tc>
          <w:tcPr>
            <w:tcW w:w="630" w:type="dxa"/>
          </w:tcPr>
          <w:p w14:paraId="3D637B74" w14:textId="77777777" w:rsidR="00C92E14" w:rsidRPr="00937662" w:rsidRDefault="00C92E14" w:rsidP="00C92E14"/>
        </w:tc>
        <w:tc>
          <w:tcPr>
            <w:tcW w:w="1530" w:type="dxa"/>
          </w:tcPr>
          <w:p w14:paraId="2C83E330" w14:textId="77777777" w:rsidR="00C92E14" w:rsidRPr="00937662" w:rsidRDefault="00C92E14" w:rsidP="00C92E14">
            <w:r w:rsidRPr="00937662">
              <w:t>E lartë</w:t>
            </w:r>
          </w:p>
        </w:tc>
        <w:tc>
          <w:tcPr>
            <w:tcW w:w="1620" w:type="dxa"/>
          </w:tcPr>
          <w:p w14:paraId="5AAF7E4E" w14:textId="77777777" w:rsidR="00C92E14" w:rsidRPr="00937662" w:rsidRDefault="00C92E14" w:rsidP="00C92E14">
            <w:r w:rsidRPr="00937662">
              <w:t>E ulët</w:t>
            </w:r>
          </w:p>
        </w:tc>
        <w:tc>
          <w:tcPr>
            <w:tcW w:w="1260" w:type="dxa"/>
          </w:tcPr>
          <w:p w14:paraId="198D5652" w14:textId="77777777" w:rsidR="00C92E14" w:rsidRPr="00937662" w:rsidRDefault="00C92E14" w:rsidP="00C92E14"/>
        </w:tc>
      </w:tr>
      <w:tr w:rsidR="00C92E14" w:rsidRPr="00937662" w14:paraId="2B7368E0" w14:textId="77777777" w:rsidTr="003E4E3B">
        <w:tc>
          <w:tcPr>
            <w:tcW w:w="1350" w:type="dxa"/>
            <w:vMerge w:val="restart"/>
          </w:tcPr>
          <w:p w14:paraId="3F1AA43E" w14:textId="77777777" w:rsidR="00C92E14" w:rsidRPr="00937662" w:rsidRDefault="00C92E14" w:rsidP="00C92E14">
            <w:r w:rsidRPr="00937662">
              <w:t>Çmimet dhe konkurrenca</w:t>
            </w:r>
          </w:p>
        </w:tc>
        <w:tc>
          <w:tcPr>
            <w:tcW w:w="2970" w:type="dxa"/>
          </w:tcPr>
          <w:p w14:paraId="7C1BA51A" w14:textId="77777777" w:rsidR="00C92E14" w:rsidRPr="00937662" w:rsidRDefault="00C92E14" w:rsidP="00C92E14">
            <w:r w:rsidRPr="00937662">
              <w:t>A do të rritet numri i mallrave dhe shërbimeve që janë në dispozicion për bizneset apo konsumatorët?</w:t>
            </w:r>
          </w:p>
        </w:tc>
        <w:tc>
          <w:tcPr>
            <w:tcW w:w="630" w:type="dxa"/>
          </w:tcPr>
          <w:p w14:paraId="4B99DAB2" w14:textId="77777777" w:rsidR="00C92E14" w:rsidRPr="00937662" w:rsidRDefault="00C92E14" w:rsidP="00C92E14"/>
        </w:tc>
        <w:tc>
          <w:tcPr>
            <w:tcW w:w="630" w:type="dxa"/>
          </w:tcPr>
          <w:p w14:paraId="6867A911" w14:textId="77777777" w:rsidR="00C92E14" w:rsidRPr="00937662" w:rsidRDefault="00C92E14" w:rsidP="00C92E14">
            <w:r w:rsidRPr="00937662">
              <w:t>x</w:t>
            </w:r>
          </w:p>
        </w:tc>
        <w:tc>
          <w:tcPr>
            <w:tcW w:w="1530" w:type="dxa"/>
          </w:tcPr>
          <w:p w14:paraId="6BCDD92D" w14:textId="7B2BE07B" w:rsidR="00C92E14" w:rsidRPr="00937662" w:rsidRDefault="00BE60D9" w:rsidP="00C92E14">
            <w:r w:rsidRPr="00BE60D9">
              <w:t>E lartë</w:t>
            </w:r>
          </w:p>
        </w:tc>
        <w:tc>
          <w:tcPr>
            <w:tcW w:w="1620" w:type="dxa"/>
          </w:tcPr>
          <w:p w14:paraId="531171AE" w14:textId="77777777" w:rsidR="00C92E14" w:rsidRPr="00937662" w:rsidRDefault="00C92E14" w:rsidP="00C92E14"/>
        </w:tc>
        <w:tc>
          <w:tcPr>
            <w:tcW w:w="1260" w:type="dxa"/>
          </w:tcPr>
          <w:p w14:paraId="5F43146C" w14:textId="77777777" w:rsidR="00C92E14" w:rsidRPr="00937662" w:rsidRDefault="00C92E14" w:rsidP="00C92E14"/>
        </w:tc>
      </w:tr>
      <w:tr w:rsidR="00C92E14" w:rsidRPr="00937662" w14:paraId="786AECC5" w14:textId="77777777" w:rsidTr="003E4E3B">
        <w:tc>
          <w:tcPr>
            <w:tcW w:w="1350" w:type="dxa"/>
            <w:vMerge/>
          </w:tcPr>
          <w:p w14:paraId="058B1399" w14:textId="77777777" w:rsidR="00C92E14" w:rsidRPr="00937662" w:rsidRDefault="00C92E14" w:rsidP="00C92E14"/>
        </w:tc>
        <w:tc>
          <w:tcPr>
            <w:tcW w:w="2970" w:type="dxa"/>
          </w:tcPr>
          <w:p w14:paraId="437B8D3A" w14:textId="77777777" w:rsidR="00C92E14" w:rsidRPr="00937662" w:rsidRDefault="00C92E14" w:rsidP="00C92E14">
            <w:r w:rsidRPr="00937662">
              <w:t>A do të zvogëlohet numri i mallrave dhe shërbimeve në dispozicion për bizneset apo konsumatorët?</w:t>
            </w:r>
          </w:p>
        </w:tc>
        <w:tc>
          <w:tcPr>
            <w:tcW w:w="630" w:type="dxa"/>
          </w:tcPr>
          <w:p w14:paraId="75E5D032" w14:textId="77777777" w:rsidR="00C92E14" w:rsidRPr="00937662" w:rsidRDefault="00C92E14" w:rsidP="00C92E14">
            <w:r w:rsidRPr="00937662">
              <w:t>x</w:t>
            </w:r>
          </w:p>
        </w:tc>
        <w:tc>
          <w:tcPr>
            <w:tcW w:w="630" w:type="dxa"/>
          </w:tcPr>
          <w:p w14:paraId="0C70FE1C" w14:textId="77777777" w:rsidR="00C92E14" w:rsidRPr="00937662" w:rsidRDefault="00C92E14" w:rsidP="00C92E14"/>
        </w:tc>
        <w:tc>
          <w:tcPr>
            <w:tcW w:w="1530" w:type="dxa"/>
          </w:tcPr>
          <w:p w14:paraId="65D13A08" w14:textId="57CC82B7" w:rsidR="00C92E14" w:rsidRPr="00937662" w:rsidRDefault="00C92E14" w:rsidP="00C92E14"/>
        </w:tc>
        <w:tc>
          <w:tcPr>
            <w:tcW w:w="1620" w:type="dxa"/>
          </w:tcPr>
          <w:p w14:paraId="26AC3826" w14:textId="5D4FC1D9" w:rsidR="00C92E14" w:rsidRPr="00937662" w:rsidRDefault="00C92E14" w:rsidP="00C92E14"/>
        </w:tc>
        <w:tc>
          <w:tcPr>
            <w:tcW w:w="1260" w:type="dxa"/>
          </w:tcPr>
          <w:p w14:paraId="37F2CB38" w14:textId="77777777" w:rsidR="00C92E14" w:rsidRPr="00937662" w:rsidRDefault="00C92E14" w:rsidP="00C92E14"/>
        </w:tc>
      </w:tr>
      <w:tr w:rsidR="00C92E14" w:rsidRPr="00937662" w14:paraId="48E6E86A" w14:textId="77777777" w:rsidTr="003E4E3B">
        <w:tc>
          <w:tcPr>
            <w:tcW w:w="1350" w:type="dxa"/>
            <w:vMerge/>
          </w:tcPr>
          <w:p w14:paraId="390A4212" w14:textId="77777777" w:rsidR="00C92E14" w:rsidRPr="00937662" w:rsidRDefault="00C92E14" w:rsidP="00C92E14"/>
        </w:tc>
        <w:tc>
          <w:tcPr>
            <w:tcW w:w="2970" w:type="dxa"/>
          </w:tcPr>
          <w:p w14:paraId="599573CB" w14:textId="77777777" w:rsidR="00C92E14" w:rsidRPr="00937662" w:rsidRDefault="00C92E14" w:rsidP="00C92E14">
            <w:r w:rsidRPr="00937662">
              <w:t>A do të rriten çmimet e mallrave dhe shërbimeve ekzistuese?</w:t>
            </w:r>
          </w:p>
        </w:tc>
        <w:tc>
          <w:tcPr>
            <w:tcW w:w="630" w:type="dxa"/>
          </w:tcPr>
          <w:p w14:paraId="558828FB" w14:textId="77777777" w:rsidR="00C92E14" w:rsidRPr="00937662" w:rsidRDefault="00C92E14" w:rsidP="00C92E14"/>
        </w:tc>
        <w:tc>
          <w:tcPr>
            <w:tcW w:w="630" w:type="dxa"/>
          </w:tcPr>
          <w:p w14:paraId="63991726" w14:textId="77777777" w:rsidR="00C92E14" w:rsidRPr="00937662" w:rsidRDefault="00C92E14" w:rsidP="00C92E14">
            <w:r w:rsidRPr="00937662">
              <w:t>x</w:t>
            </w:r>
          </w:p>
        </w:tc>
        <w:tc>
          <w:tcPr>
            <w:tcW w:w="1530" w:type="dxa"/>
          </w:tcPr>
          <w:p w14:paraId="0319F136" w14:textId="77777777" w:rsidR="00C92E14" w:rsidRPr="00937662" w:rsidRDefault="00C92E14" w:rsidP="00C92E14"/>
        </w:tc>
        <w:tc>
          <w:tcPr>
            <w:tcW w:w="1620" w:type="dxa"/>
          </w:tcPr>
          <w:p w14:paraId="15476762" w14:textId="77777777" w:rsidR="00C92E14" w:rsidRPr="00937662" w:rsidRDefault="00C92E14" w:rsidP="00C92E14"/>
        </w:tc>
        <w:tc>
          <w:tcPr>
            <w:tcW w:w="1260" w:type="dxa"/>
          </w:tcPr>
          <w:p w14:paraId="6F55C802" w14:textId="77777777" w:rsidR="00C92E14" w:rsidRPr="00937662" w:rsidRDefault="00C92E14" w:rsidP="00C92E14"/>
        </w:tc>
      </w:tr>
      <w:tr w:rsidR="00C92E14" w:rsidRPr="00937662" w14:paraId="3A17B5DE" w14:textId="77777777" w:rsidTr="003E4E3B">
        <w:tc>
          <w:tcPr>
            <w:tcW w:w="1350" w:type="dxa"/>
            <w:vMerge/>
          </w:tcPr>
          <w:p w14:paraId="5D6F15BB" w14:textId="77777777" w:rsidR="00C92E14" w:rsidRPr="00937662" w:rsidRDefault="00C92E14" w:rsidP="00C92E14"/>
        </w:tc>
        <w:tc>
          <w:tcPr>
            <w:tcW w:w="2970" w:type="dxa"/>
          </w:tcPr>
          <w:p w14:paraId="09A17E01" w14:textId="77777777" w:rsidR="00C92E14" w:rsidRPr="00937662" w:rsidRDefault="00C92E14" w:rsidP="00C92E14">
            <w:r w:rsidRPr="00937662">
              <w:t>A do të ulen çmimet e mallrave dhe shërbimeve ekzistuese?</w:t>
            </w:r>
          </w:p>
        </w:tc>
        <w:tc>
          <w:tcPr>
            <w:tcW w:w="630" w:type="dxa"/>
          </w:tcPr>
          <w:p w14:paraId="136BA264" w14:textId="77777777" w:rsidR="00C92E14" w:rsidRPr="00937662" w:rsidRDefault="00C92E14" w:rsidP="00C92E14"/>
        </w:tc>
        <w:tc>
          <w:tcPr>
            <w:tcW w:w="630" w:type="dxa"/>
          </w:tcPr>
          <w:p w14:paraId="23418862" w14:textId="77777777" w:rsidR="00C92E14" w:rsidRPr="00937662" w:rsidRDefault="00C92E14" w:rsidP="00C92E14">
            <w:r w:rsidRPr="00937662">
              <w:t>x</w:t>
            </w:r>
          </w:p>
        </w:tc>
        <w:tc>
          <w:tcPr>
            <w:tcW w:w="1530" w:type="dxa"/>
          </w:tcPr>
          <w:p w14:paraId="2419D7F8" w14:textId="77777777" w:rsidR="00C92E14" w:rsidRPr="00937662" w:rsidRDefault="00C92E14" w:rsidP="00C92E14"/>
        </w:tc>
        <w:tc>
          <w:tcPr>
            <w:tcW w:w="1620" w:type="dxa"/>
          </w:tcPr>
          <w:p w14:paraId="0E7EF9B2" w14:textId="77777777" w:rsidR="00C92E14" w:rsidRPr="00937662" w:rsidRDefault="00C92E14" w:rsidP="00C92E14"/>
        </w:tc>
        <w:tc>
          <w:tcPr>
            <w:tcW w:w="1260" w:type="dxa"/>
          </w:tcPr>
          <w:p w14:paraId="383DE8C6" w14:textId="77777777" w:rsidR="00C92E14" w:rsidRPr="00937662" w:rsidRDefault="00C92E14" w:rsidP="00C92E14"/>
        </w:tc>
      </w:tr>
      <w:tr w:rsidR="00C92E14" w:rsidRPr="00937662" w14:paraId="1BFCE32F" w14:textId="77777777" w:rsidTr="003E4E3B">
        <w:tc>
          <w:tcPr>
            <w:tcW w:w="1350" w:type="dxa"/>
            <w:vMerge w:val="restart"/>
          </w:tcPr>
          <w:p w14:paraId="3AA8D97E" w14:textId="77777777" w:rsidR="00C92E14" w:rsidRPr="00937662" w:rsidRDefault="00C92E14" w:rsidP="00C92E14">
            <w:r w:rsidRPr="00937662">
              <w:t>Ndikimet ekonomike rajonale</w:t>
            </w:r>
          </w:p>
        </w:tc>
        <w:tc>
          <w:tcPr>
            <w:tcW w:w="2970" w:type="dxa"/>
          </w:tcPr>
          <w:p w14:paraId="7AAC9A6D" w14:textId="77777777" w:rsidR="00C92E14" w:rsidRPr="00937662" w:rsidRDefault="00C92E14" w:rsidP="00C92E14">
            <w:r w:rsidRPr="00937662">
              <w:t>A do të preket ndonjë sektor i veçantë i biznesit?</w:t>
            </w:r>
          </w:p>
        </w:tc>
        <w:tc>
          <w:tcPr>
            <w:tcW w:w="630" w:type="dxa"/>
          </w:tcPr>
          <w:p w14:paraId="4AAD37C4" w14:textId="77777777" w:rsidR="00C92E14" w:rsidRPr="00937662" w:rsidRDefault="00C92E14" w:rsidP="00C92E14"/>
        </w:tc>
        <w:tc>
          <w:tcPr>
            <w:tcW w:w="630" w:type="dxa"/>
          </w:tcPr>
          <w:p w14:paraId="724130E4" w14:textId="77777777" w:rsidR="00C92E14" w:rsidRPr="00937662" w:rsidRDefault="00C92E14" w:rsidP="00C92E14">
            <w:r w:rsidRPr="00937662">
              <w:t>x</w:t>
            </w:r>
          </w:p>
        </w:tc>
        <w:tc>
          <w:tcPr>
            <w:tcW w:w="1530" w:type="dxa"/>
          </w:tcPr>
          <w:p w14:paraId="49FDA119" w14:textId="77777777" w:rsidR="00C92E14" w:rsidRPr="00937662" w:rsidRDefault="00C92E14" w:rsidP="00C92E14"/>
        </w:tc>
        <w:tc>
          <w:tcPr>
            <w:tcW w:w="1620" w:type="dxa"/>
          </w:tcPr>
          <w:p w14:paraId="221A291B" w14:textId="77777777" w:rsidR="00C92E14" w:rsidRPr="00937662" w:rsidRDefault="00C92E14" w:rsidP="00C92E14"/>
        </w:tc>
        <w:tc>
          <w:tcPr>
            <w:tcW w:w="1260" w:type="dxa"/>
          </w:tcPr>
          <w:p w14:paraId="60A7AF4C" w14:textId="77777777" w:rsidR="00C92E14" w:rsidRPr="00937662" w:rsidRDefault="00C92E14" w:rsidP="00C92E14"/>
        </w:tc>
      </w:tr>
      <w:tr w:rsidR="00C92E14" w:rsidRPr="00937662" w14:paraId="14DFFCF2" w14:textId="77777777" w:rsidTr="003E4E3B">
        <w:tc>
          <w:tcPr>
            <w:tcW w:w="1350" w:type="dxa"/>
            <w:vMerge/>
          </w:tcPr>
          <w:p w14:paraId="4FA43D1E" w14:textId="77777777" w:rsidR="00C92E14" w:rsidRPr="00937662" w:rsidRDefault="00C92E14" w:rsidP="00C92E14"/>
        </w:tc>
        <w:tc>
          <w:tcPr>
            <w:tcW w:w="2970" w:type="dxa"/>
          </w:tcPr>
          <w:p w14:paraId="6AC986D5" w14:textId="77777777" w:rsidR="00C92E14" w:rsidRPr="00937662" w:rsidRDefault="00C92E14" w:rsidP="00C92E14">
            <w:r w:rsidRPr="00937662">
              <w:t>A është i përqendruar ky sektor në ndonjë rajon të veçantë?</w:t>
            </w:r>
          </w:p>
        </w:tc>
        <w:tc>
          <w:tcPr>
            <w:tcW w:w="630" w:type="dxa"/>
          </w:tcPr>
          <w:p w14:paraId="5046788A" w14:textId="77777777" w:rsidR="00C92E14" w:rsidRPr="00937662" w:rsidRDefault="00C92E14" w:rsidP="00C92E14"/>
        </w:tc>
        <w:tc>
          <w:tcPr>
            <w:tcW w:w="630" w:type="dxa"/>
          </w:tcPr>
          <w:p w14:paraId="3A8B13FC" w14:textId="77777777" w:rsidR="00C92E14" w:rsidRPr="00937662" w:rsidRDefault="00C92E14" w:rsidP="00C92E14">
            <w:r w:rsidRPr="00937662">
              <w:t>x</w:t>
            </w:r>
          </w:p>
        </w:tc>
        <w:tc>
          <w:tcPr>
            <w:tcW w:w="1530" w:type="dxa"/>
          </w:tcPr>
          <w:p w14:paraId="048A79D3" w14:textId="77777777" w:rsidR="00C92E14" w:rsidRPr="00937662" w:rsidRDefault="00C92E14" w:rsidP="00C92E14"/>
        </w:tc>
        <w:tc>
          <w:tcPr>
            <w:tcW w:w="1620" w:type="dxa"/>
          </w:tcPr>
          <w:p w14:paraId="4F704DDF" w14:textId="77777777" w:rsidR="00C92E14" w:rsidRPr="00937662" w:rsidRDefault="00C92E14" w:rsidP="00C92E14"/>
        </w:tc>
        <w:tc>
          <w:tcPr>
            <w:tcW w:w="1260" w:type="dxa"/>
          </w:tcPr>
          <w:p w14:paraId="22684306" w14:textId="77777777" w:rsidR="00C92E14" w:rsidRPr="00937662" w:rsidRDefault="00C92E14" w:rsidP="00C92E14"/>
        </w:tc>
      </w:tr>
      <w:tr w:rsidR="00C92E14" w:rsidRPr="00937662" w14:paraId="684057E7" w14:textId="77777777" w:rsidTr="003E4E3B">
        <w:tc>
          <w:tcPr>
            <w:tcW w:w="1350" w:type="dxa"/>
            <w:vMerge w:val="restart"/>
          </w:tcPr>
          <w:p w14:paraId="6FF7997E" w14:textId="77777777" w:rsidR="00C92E14" w:rsidRPr="00937662" w:rsidRDefault="00C92E14" w:rsidP="00C92E14">
            <w:r w:rsidRPr="00937662">
              <w:t>Zhvillimi i përgjithshë</w:t>
            </w:r>
            <w:r w:rsidRPr="00937662">
              <w:lastRenderedPageBreak/>
              <w:t>m ekonomik</w:t>
            </w:r>
          </w:p>
        </w:tc>
        <w:tc>
          <w:tcPr>
            <w:tcW w:w="2970" w:type="dxa"/>
          </w:tcPr>
          <w:p w14:paraId="08C85EDA" w14:textId="77777777" w:rsidR="00C92E14" w:rsidRPr="00937662" w:rsidRDefault="00C92E14" w:rsidP="00C92E14">
            <w:r w:rsidRPr="00937662">
              <w:lastRenderedPageBreak/>
              <w:t>A do të ndikohet në rritjen e ardhshme ekonomike?</w:t>
            </w:r>
          </w:p>
        </w:tc>
        <w:tc>
          <w:tcPr>
            <w:tcW w:w="630" w:type="dxa"/>
          </w:tcPr>
          <w:p w14:paraId="09EB9037" w14:textId="1500B760" w:rsidR="00C92E14" w:rsidRPr="00937662" w:rsidRDefault="00B04DFA" w:rsidP="00C92E14">
            <w:r w:rsidRPr="00B04DFA">
              <w:t>x</w:t>
            </w:r>
          </w:p>
        </w:tc>
        <w:tc>
          <w:tcPr>
            <w:tcW w:w="630" w:type="dxa"/>
          </w:tcPr>
          <w:p w14:paraId="2D08383E" w14:textId="071978C9" w:rsidR="00C92E14" w:rsidRPr="00937662" w:rsidRDefault="00C92E14" w:rsidP="00C92E14"/>
        </w:tc>
        <w:tc>
          <w:tcPr>
            <w:tcW w:w="1530" w:type="dxa"/>
          </w:tcPr>
          <w:p w14:paraId="2F626716" w14:textId="77777777" w:rsidR="00C92E14" w:rsidRPr="00937662" w:rsidRDefault="00C92E14" w:rsidP="00C92E14"/>
        </w:tc>
        <w:tc>
          <w:tcPr>
            <w:tcW w:w="1620" w:type="dxa"/>
          </w:tcPr>
          <w:p w14:paraId="6D19722F" w14:textId="77777777" w:rsidR="00C92E14" w:rsidRPr="00937662" w:rsidRDefault="00C92E14" w:rsidP="00C92E14"/>
        </w:tc>
        <w:tc>
          <w:tcPr>
            <w:tcW w:w="1260" w:type="dxa"/>
          </w:tcPr>
          <w:p w14:paraId="043E61F3" w14:textId="77777777" w:rsidR="00C92E14" w:rsidRPr="00937662" w:rsidRDefault="00C92E14" w:rsidP="00C92E14"/>
        </w:tc>
      </w:tr>
      <w:tr w:rsidR="00C92E14" w:rsidRPr="00937662" w14:paraId="461CF9CF" w14:textId="77777777" w:rsidTr="003E4E3B">
        <w:tc>
          <w:tcPr>
            <w:tcW w:w="1350" w:type="dxa"/>
            <w:vMerge/>
          </w:tcPr>
          <w:p w14:paraId="077934B4" w14:textId="77777777" w:rsidR="00C92E14" w:rsidRPr="00937662" w:rsidRDefault="00C92E14" w:rsidP="00C92E14"/>
        </w:tc>
        <w:tc>
          <w:tcPr>
            <w:tcW w:w="2970" w:type="dxa"/>
          </w:tcPr>
          <w:p w14:paraId="4FE79390" w14:textId="77777777" w:rsidR="00C92E14" w:rsidRPr="00937662" w:rsidRDefault="00C92E14" w:rsidP="00C92E14">
            <w:r w:rsidRPr="00937662">
              <w:t>A mund të ketë ndonjë efekt në normën e inflacionit?</w:t>
            </w:r>
          </w:p>
        </w:tc>
        <w:tc>
          <w:tcPr>
            <w:tcW w:w="630" w:type="dxa"/>
          </w:tcPr>
          <w:p w14:paraId="0214E1AB" w14:textId="77777777" w:rsidR="00C92E14" w:rsidRPr="00937662" w:rsidRDefault="00C92E14" w:rsidP="00C92E14"/>
        </w:tc>
        <w:tc>
          <w:tcPr>
            <w:tcW w:w="630" w:type="dxa"/>
          </w:tcPr>
          <w:p w14:paraId="7622153D" w14:textId="77777777" w:rsidR="00C92E14" w:rsidRPr="00937662" w:rsidRDefault="00C92E14" w:rsidP="00C92E14">
            <w:r w:rsidRPr="00937662">
              <w:t>x</w:t>
            </w:r>
          </w:p>
        </w:tc>
        <w:tc>
          <w:tcPr>
            <w:tcW w:w="1530" w:type="dxa"/>
          </w:tcPr>
          <w:p w14:paraId="1495C73E" w14:textId="77777777" w:rsidR="00C92E14" w:rsidRPr="00937662" w:rsidRDefault="00C92E14" w:rsidP="00C92E14"/>
        </w:tc>
        <w:tc>
          <w:tcPr>
            <w:tcW w:w="1620" w:type="dxa"/>
          </w:tcPr>
          <w:p w14:paraId="5109464D" w14:textId="77777777" w:rsidR="00C92E14" w:rsidRPr="00937662" w:rsidRDefault="00C92E14" w:rsidP="00C92E14"/>
        </w:tc>
        <w:tc>
          <w:tcPr>
            <w:tcW w:w="1260" w:type="dxa"/>
          </w:tcPr>
          <w:p w14:paraId="6BDADB53" w14:textId="77777777" w:rsidR="00C92E14" w:rsidRPr="00937662" w:rsidRDefault="00C92E14" w:rsidP="00C92E14"/>
        </w:tc>
      </w:tr>
    </w:tbl>
    <w:p w14:paraId="60A86160" w14:textId="77777777" w:rsidR="00C92E14" w:rsidRPr="00937662" w:rsidRDefault="00C92E14" w:rsidP="00C92E14"/>
    <w:p w14:paraId="36AC7E49" w14:textId="77777777" w:rsidR="00C92E14" w:rsidRPr="00937662" w:rsidRDefault="00C92E14" w:rsidP="00C92E14">
      <w:r w:rsidRPr="00937662">
        <w:br w:type="page"/>
      </w:r>
    </w:p>
    <w:p w14:paraId="12758B44" w14:textId="77777777" w:rsidR="00C92E14" w:rsidRPr="00937662" w:rsidRDefault="00C92E14" w:rsidP="006549E0">
      <w:pPr>
        <w:pStyle w:val="Heading1"/>
        <w:rPr>
          <w:sz w:val="28"/>
          <w:szCs w:val="28"/>
        </w:rPr>
      </w:pPr>
      <w:bookmarkStart w:id="36" w:name="_Toc66089569"/>
      <w:bookmarkStart w:id="37" w:name="_Toc69198236"/>
      <w:r w:rsidRPr="00937662">
        <w:rPr>
          <w:sz w:val="28"/>
          <w:szCs w:val="28"/>
        </w:rPr>
        <w:lastRenderedPageBreak/>
        <w:t xml:space="preserve">Aneksi 2: Formulari i vlerësimit të ndikimeve sociale </w:t>
      </w:r>
      <w:r w:rsidRPr="00937662">
        <w:rPr>
          <w:sz w:val="28"/>
          <w:szCs w:val="28"/>
          <w:vertAlign w:val="superscript"/>
        </w:rPr>
        <w:footnoteReference w:id="3"/>
      </w:r>
      <w:bookmarkEnd w:id="36"/>
      <w:bookmarkEnd w:id="37"/>
    </w:p>
    <w:tbl>
      <w:tblPr>
        <w:tblStyle w:val="TableGrid"/>
        <w:tblW w:w="10170" w:type="dxa"/>
        <w:tblInd w:w="-635" w:type="dxa"/>
        <w:tblLayout w:type="fixed"/>
        <w:tblLook w:val="04A0" w:firstRow="1" w:lastRow="0" w:firstColumn="1" w:lastColumn="0" w:noHBand="0" w:noVBand="1"/>
      </w:tblPr>
      <w:tblGrid>
        <w:gridCol w:w="1260"/>
        <w:gridCol w:w="2610"/>
        <w:gridCol w:w="810"/>
        <w:gridCol w:w="810"/>
        <w:gridCol w:w="1440"/>
        <w:gridCol w:w="1260"/>
        <w:gridCol w:w="1980"/>
      </w:tblGrid>
      <w:tr w:rsidR="00C92E14" w:rsidRPr="00937662" w14:paraId="0D3DE413" w14:textId="77777777" w:rsidTr="003E4E3B">
        <w:tc>
          <w:tcPr>
            <w:tcW w:w="1260" w:type="dxa"/>
            <w:vMerge w:val="restart"/>
          </w:tcPr>
          <w:p w14:paraId="426C73E3" w14:textId="15C7C3B5" w:rsidR="00C92E14" w:rsidRPr="00937662" w:rsidRDefault="009305D6" w:rsidP="00C92E14">
            <w:pPr>
              <w:rPr>
                <w:b/>
              </w:rPr>
            </w:pPr>
            <w:r w:rsidRPr="00937662">
              <w:rPr>
                <w:b/>
              </w:rPr>
              <w:t>Kategoria e ndikimit social</w:t>
            </w:r>
          </w:p>
        </w:tc>
        <w:tc>
          <w:tcPr>
            <w:tcW w:w="2610" w:type="dxa"/>
            <w:vMerge w:val="restart"/>
          </w:tcPr>
          <w:p w14:paraId="55A6B08B" w14:textId="77777777" w:rsidR="00C92E14" w:rsidRPr="00937662" w:rsidRDefault="00C92E14" w:rsidP="00C92E14">
            <w:pPr>
              <w:rPr>
                <w:b/>
              </w:rPr>
            </w:pPr>
            <w:r w:rsidRPr="00937662">
              <w:rPr>
                <w:b/>
              </w:rPr>
              <w:t>Ndikimi kryesor</w:t>
            </w:r>
          </w:p>
        </w:tc>
        <w:tc>
          <w:tcPr>
            <w:tcW w:w="1620" w:type="dxa"/>
            <w:gridSpan w:val="2"/>
          </w:tcPr>
          <w:p w14:paraId="76CF9F9B" w14:textId="77777777" w:rsidR="00C92E14" w:rsidRPr="00937662" w:rsidRDefault="00C92E14" w:rsidP="00C92E14">
            <w:pPr>
              <w:rPr>
                <w:b/>
              </w:rPr>
            </w:pPr>
            <w:r w:rsidRPr="00937662">
              <w:rPr>
                <w:b/>
              </w:rPr>
              <w:t>A pritet të ndodhë ky ndikim?</w:t>
            </w:r>
          </w:p>
        </w:tc>
        <w:tc>
          <w:tcPr>
            <w:tcW w:w="1440" w:type="dxa"/>
          </w:tcPr>
          <w:p w14:paraId="162AF8B8" w14:textId="77777777" w:rsidR="00C92E14" w:rsidRPr="00937662" w:rsidRDefault="00C92E14" w:rsidP="00C92E14">
            <w:pPr>
              <w:rPr>
                <w:b/>
              </w:rPr>
            </w:pPr>
            <w:r w:rsidRPr="00937662">
              <w:rPr>
                <w:b/>
              </w:rPr>
              <w:t>Numri i organizatave, kompanive dhe / ose individëve të prekur</w:t>
            </w:r>
          </w:p>
        </w:tc>
        <w:tc>
          <w:tcPr>
            <w:tcW w:w="1260" w:type="dxa"/>
          </w:tcPr>
          <w:p w14:paraId="0994649E" w14:textId="77777777" w:rsidR="00C92E14" w:rsidRPr="00937662" w:rsidRDefault="00C92E14" w:rsidP="00C92E14">
            <w:pPr>
              <w:rPr>
                <w:b/>
              </w:rPr>
            </w:pPr>
            <w:r w:rsidRPr="00937662">
              <w:rPr>
                <w:b/>
              </w:rPr>
              <w:t>Përfitimi ose kostoja e pritur e ndikimit</w:t>
            </w:r>
          </w:p>
        </w:tc>
        <w:tc>
          <w:tcPr>
            <w:tcW w:w="1980" w:type="dxa"/>
          </w:tcPr>
          <w:p w14:paraId="1CE4B69A" w14:textId="77777777" w:rsidR="00C92E14" w:rsidRPr="00937662" w:rsidRDefault="00C92E14" w:rsidP="00C92E14">
            <w:pPr>
              <w:rPr>
                <w:b/>
              </w:rPr>
            </w:pPr>
            <w:r w:rsidRPr="00937662">
              <w:rPr>
                <w:b/>
              </w:rPr>
              <w:t>Niveli i preferuar i analizës</w:t>
            </w:r>
          </w:p>
        </w:tc>
      </w:tr>
      <w:tr w:rsidR="00C92E14" w:rsidRPr="00937662" w14:paraId="28D0B3BA" w14:textId="77777777" w:rsidTr="003E4E3B">
        <w:tc>
          <w:tcPr>
            <w:tcW w:w="1260" w:type="dxa"/>
            <w:vMerge/>
          </w:tcPr>
          <w:p w14:paraId="1A63743D" w14:textId="77777777" w:rsidR="00C92E14" w:rsidRPr="00937662" w:rsidRDefault="00C92E14" w:rsidP="00C92E14">
            <w:pPr>
              <w:rPr>
                <w:b/>
              </w:rPr>
            </w:pPr>
          </w:p>
        </w:tc>
        <w:tc>
          <w:tcPr>
            <w:tcW w:w="2610" w:type="dxa"/>
            <w:vMerge/>
          </w:tcPr>
          <w:p w14:paraId="746EF8A3" w14:textId="77777777" w:rsidR="00C92E14" w:rsidRPr="00937662" w:rsidRDefault="00C92E14" w:rsidP="00C92E14">
            <w:pPr>
              <w:rPr>
                <w:b/>
              </w:rPr>
            </w:pPr>
          </w:p>
        </w:tc>
        <w:tc>
          <w:tcPr>
            <w:tcW w:w="810" w:type="dxa"/>
          </w:tcPr>
          <w:p w14:paraId="6045730F" w14:textId="77777777" w:rsidR="00C92E14" w:rsidRPr="00937662" w:rsidRDefault="00C92E14" w:rsidP="00C92E14">
            <w:pPr>
              <w:rPr>
                <w:b/>
              </w:rPr>
            </w:pPr>
            <w:r w:rsidRPr="00937662">
              <w:rPr>
                <w:b/>
              </w:rPr>
              <w:t>Po</w:t>
            </w:r>
          </w:p>
        </w:tc>
        <w:tc>
          <w:tcPr>
            <w:tcW w:w="810" w:type="dxa"/>
          </w:tcPr>
          <w:p w14:paraId="635BEB60" w14:textId="77777777" w:rsidR="00C92E14" w:rsidRPr="00937662" w:rsidRDefault="00C92E14" w:rsidP="00C92E14">
            <w:pPr>
              <w:rPr>
                <w:b/>
              </w:rPr>
            </w:pPr>
            <w:r w:rsidRPr="00937662">
              <w:rPr>
                <w:b/>
              </w:rPr>
              <w:t>Jo</w:t>
            </w:r>
          </w:p>
        </w:tc>
        <w:tc>
          <w:tcPr>
            <w:tcW w:w="1440" w:type="dxa"/>
          </w:tcPr>
          <w:p w14:paraId="5861B56A" w14:textId="77777777" w:rsidR="00C92E14" w:rsidRPr="00937662" w:rsidRDefault="00C92E14" w:rsidP="00C92E14">
            <w:pPr>
              <w:rPr>
                <w:b/>
              </w:rPr>
            </w:pPr>
            <w:r w:rsidRPr="00937662">
              <w:rPr>
                <w:b/>
              </w:rPr>
              <w:t>I lartë / i ulët</w:t>
            </w:r>
          </w:p>
        </w:tc>
        <w:tc>
          <w:tcPr>
            <w:tcW w:w="1260" w:type="dxa"/>
          </w:tcPr>
          <w:p w14:paraId="377980CB" w14:textId="77777777" w:rsidR="00C92E14" w:rsidRPr="00937662" w:rsidRDefault="00C92E14" w:rsidP="00C92E14">
            <w:pPr>
              <w:rPr>
                <w:b/>
              </w:rPr>
            </w:pPr>
            <w:r w:rsidRPr="00937662">
              <w:rPr>
                <w:b/>
              </w:rPr>
              <w:t>I lartë / i ulët</w:t>
            </w:r>
          </w:p>
        </w:tc>
        <w:tc>
          <w:tcPr>
            <w:tcW w:w="1980" w:type="dxa"/>
          </w:tcPr>
          <w:p w14:paraId="4B4ECB0E" w14:textId="77777777" w:rsidR="00C92E14" w:rsidRPr="00937662" w:rsidRDefault="00C92E14" w:rsidP="00C92E14">
            <w:pPr>
              <w:rPr>
                <w:b/>
              </w:rPr>
            </w:pPr>
          </w:p>
        </w:tc>
      </w:tr>
      <w:tr w:rsidR="00C92E14" w:rsidRPr="00937662" w14:paraId="63120167" w14:textId="77777777" w:rsidTr="003E4E3B">
        <w:tc>
          <w:tcPr>
            <w:tcW w:w="1260" w:type="dxa"/>
            <w:vMerge w:val="restart"/>
          </w:tcPr>
          <w:p w14:paraId="698B9FAA" w14:textId="77777777" w:rsidR="00C92E14" w:rsidRPr="00937662" w:rsidRDefault="00C92E14" w:rsidP="00C92E14">
            <w:r w:rsidRPr="00937662">
              <w:t>Vendet e punës</w:t>
            </w:r>
            <w:r w:rsidRPr="00937662">
              <w:rPr>
                <w:vertAlign w:val="superscript"/>
              </w:rPr>
              <w:t xml:space="preserve"> </w:t>
            </w:r>
            <w:r w:rsidRPr="00937662">
              <w:rPr>
                <w:vertAlign w:val="superscript"/>
              </w:rPr>
              <w:footnoteReference w:id="4"/>
            </w:r>
          </w:p>
        </w:tc>
        <w:tc>
          <w:tcPr>
            <w:tcW w:w="2610" w:type="dxa"/>
          </w:tcPr>
          <w:p w14:paraId="2C792655" w14:textId="77777777" w:rsidR="00C92E14" w:rsidRPr="00937662" w:rsidRDefault="00C92E14" w:rsidP="00C92E14">
            <w:r w:rsidRPr="00937662">
              <w:t>A do të rritet numri aktual i vendeve të punës?</w:t>
            </w:r>
          </w:p>
        </w:tc>
        <w:tc>
          <w:tcPr>
            <w:tcW w:w="810" w:type="dxa"/>
          </w:tcPr>
          <w:p w14:paraId="3EC06219" w14:textId="5BDE84A4" w:rsidR="00C92E14" w:rsidRPr="00937662" w:rsidRDefault="00BE60D9" w:rsidP="00C92E14">
            <w:r>
              <w:t>x</w:t>
            </w:r>
          </w:p>
        </w:tc>
        <w:tc>
          <w:tcPr>
            <w:tcW w:w="810" w:type="dxa"/>
          </w:tcPr>
          <w:p w14:paraId="75801D0A" w14:textId="02937906" w:rsidR="00C92E14" w:rsidRPr="00937662" w:rsidRDefault="00C92E14" w:rsidP="00C92E14"/>
        </w:tc>
        <w:tc>
          <w:tcPr>
            <w:tcW w:w="1440" w:type="dxa"/>
          </w:tcPr>
          <w:p w14:paraId="4EE6FF2B" w14:textId="77777777" w:rsidR="00C92E14" w:rsidRPr="00937662" w:rsidRDefault="00C92E14" w:rsidP="00C92E14"/>
        </w:tc>
        <w:tc>
          <w:tcPr>
            <w:tcW w:w="1260" w:type="dxa"/>
          </w:tcPr>
          <w:p w14:paraId="0ED7FC40" w14:textId="77777777" w:rsidR="00C92E14" w:rsidRPr="00937662" w:rsidRDefault="00C92E14" w:rsidP="00C92E14">
            <w:r w:rsidRPr="00937662">
              <w:t>L</w:t>
            </w:r>
          </w:p>
        </w:tc>
        <w:tc>
          <w:tcPr>
            <w:tcW w:w="1980" w:type="dxa"/>
          </w:tcPr>
          <w:p w14:paraId="0EF4DEBF" w14:textId="77777777" w:rsidR="00C92E14" w:rsidRPr="00937662" w:rsidRDefault="00C92E14" w:rsidP="00C92E14"/>
        </w:tc>
      </w:tr>
      <w:tr w:rsidR="00C92E14" w:rsidRPr="00937662" w14:paraId="715496E2" w14:textId="77777777" w:rsidTr="003E4E3B">
        <w:tc>
          <w:tcPr>
            <w:tcW w:w="1260" w:type="dxa"/>
            <w:vMerge/>
          </w:tcPr>
          <w:p w14:paraId="44CCB937" w14:textId="77777777" w:rsidR="00C92E14" w:rsidRPr="00937662" w:rsidRDefault="00C92E14" w:rsidP="00C92E14"/>
        </w:tc>
        <w:tc>
          <w:tcPr>
            <w:tcW w:w="2610" w:type="dxa"/>
          </w:tcPr>
          <w:p w14:paraId="7CEA42ED" w14:textId="77777777" w:rsidR="00C92E14" w:rsidRPr="00937662" w:rsidRDefault="00C92E14" w:rsidP="00C92E14">
            <w:r w:rsidRPr="00937662">
              <w:t>A do të zvogëlohet numri aktual i vendeve të punës?</w:t>
            </w:r>
          </w:p>
        </w:tc>
        <w:tc>
          <w:tcPr>
            <w:tcW w:w="810" w:type="dxa"/>
          </w:tcPr>
          <w:p w14:paraId="42167708" w14:textId="77777777" w:rsidR="00C92E14" w:rsidRPr="00937662" w:rsidRDefault="00C92E14" w:rsidP="00C92E14"/>
        </w:tc>
        <w:tc>
          <w:tcPr>
            <w:tcW w:w="810" w:type="dxa"/>
          </w:tcPr>
          <w:p w14:paraId="72E14E56" w14:textId="77777777" w:rsidR="00C92E14" w:rsidRPr="00937662" w:rsidRDefault="00C92E14" w:rsidP="00C92E14">
            <w:r w:rsidRPr="00937662">
              <w:t>x</w:t>
            </w:r>
          </w:p>
        </w:tc>
        <w:tc>
          <w:tcPr>
            <w:tcW w:w="1440" w:type="dxa"/>
          </w:tcPr>
          <w:p w14:paraId="488730AD" w14:textId="77777777" w:rsidR="00C92E14" w:rsidRPr="00937662" w:rsidRDefault="00C92E14" w:rsidP="00C92E14"/>
        </w:tc>
        <w:tc>
          <w:tcPr>
            <w:tcW w:w="1260" w:type="dxa"/>
          </w:tcPr>
          <w:p w14:paraId="05634B5F" w14:textId="77777777" w:rsidR="00C92E14" w:rsidRPr="00937662" w:rsidRDefault="00C92E14" w:rsidP="00C92E14"/>
        </w:tc>
        <w:tc>
          <w:tcPr>
            <w:tcW w:w="1980" w:type="dxa"/>
          </w:tcPr>
          <w:p w14:paraId="4D4F2BEA" w14:textId="77777777" w:rsidR="00C92E14" w:rsidRPr="00937662" w:rsidRDefault="00C92E14" w:rsidP="00C92E14"/>
        </w:tc>
      </w:tr>
      <w:tr w:rsidR="00C92E14" w:rsidRPr="00937662" w14:paraId="4B19BEB8" w14:textId="77777777" w:rsidTr="003E4E3B">
        <w:tc>
          <w:tcPr>
            <w:tcW w:w="1260" w:type="dxa"/>
            <w:vMerge/>
          </w:tcPr>
          <w:p w14:paraId="552D4500" w14:textId="77777777" w:rsidR="00C92E14" w:rsidRPr="00937662" w:rsidRDefault="00C92E14" w:rsidP="00C92E14"/>
        </w:tc>
        <w:tc>
          <w:tcPr>
            <w:tcW w:w="2610" w:type="dxa"/>
          </w:tcPr>
          <w:p w14:paraId="44BCF63A" w14:textId="77777777" w:rsidR="00C92E14" w:rsidRPr="00937662" w:rsidRDefault="00C92E14" w:rsidP="00C92E14">
            <w:r w:rsidRPr="00937662">
              <w:t>A preken vendet e punës në një sektor të veçantë biznesi?</w:t>
            </w:r>
          </w:p>
        </w:tc>
        <w:tc>
          <w:tcPr>
            <w:tcW w:w="810" w:type="dxa"/>
          </w:tcPr>
          <w:p w14:paraId="203EF81F" w14:textId="77777777" w:rsidR="00C92E14" w:rsidRPr="00937662" w:rsidRDefault="00C92E14" w:rsidP="00C92E14"/>
        </w:tc>
        <w:tc>
          <w:tcPr>
            <w:tcW w:w="810" w:type="dxa"/>
          </w:tcPr>
          <w:p w14:paraId="2AC18A11" w14:textId="6E4E028D" w:rsidR="00C92E14" w:rsidRPr="00937662" w:rsidRDefault="00B04DFA" w:rsidP="00C92E14">
            <w:r>
              <w:t>x</w:t>
            </w:r>
          </w:p>
        </w:tc>
        <w:tc>
          <w:tcPr>
            <w:tcW w:w="1440" w:type="dxa"/>
          </w:tcPr>
          <w:p w14:paraId="5DDA689E" w14:textId="77777777" w:rsidR="00C92E14" w:rsidRPr="00937662" w:rsidRDefault="00C92E14" w:rsidP="00C92E14"/>
        </w:tc>
        <w:tc>
          <w:tcPr>
            <w:tcW w:w="1260" w:type="dxa"/>
          </w:tcPr>
          <w:p w14:paraId="1EEC6951" w14:textId="77777777" w:rsidR="00C92E14" w:rsidRPr="00937662" w:rsidRDefault="00C92E14" w:rsidP="00C92E14"/>
        </w:tc>
        <w:tc>
          <w:tcPr>
            <w:tcW w:w="1980" w:type="dxa"/>
          </w:tcPr>
          <w:p w14:paraId="6E90FBD3" w14:textId="77777777" w:rsidR="00C92E14" w:rsidRPr="00937662" w:rsidRDefault="00C92E14" w:rsidP="00C92E14"/>
        </w:tc>
      </w:tr>
      <w:tr w:rsidR="00C92E14" w:rsidRPr="00937662" w14:paraId="16DB5CEB" w14:textId="77777777" w:rsidTr="003E4E3B">
        <w:tc>
          <w:tcPr>
            <w:tcW w:w="1260" w:type="dxa"/>
            <w:vMerge/>
          </w:tcPr>
          <w:p w14:paraId="35B6766E" w14:textId="77777777" w:rsidR="00C92E14" w:rsidRPr="00937662" w:rsidRDefault="00C92E14" w:rsidP="00C92E14"/>
        </w:tc>
        <w:tc>
          <w:tcPr>
            <w:tcW w:w="2610" w:type="dxa"/>
          </w:tcPr>
          <w:p w14:paraId="33EA2EC8" w14:textId="77777777" w:rsidR="00C92E14" w:rsidRPr="00937662" w:rsidRDefault="00C92E14" w:rsidP="00C92E14">
            <w:r w:rsidRPr="00937662">
              <w:t>A do të ketë ndonjë ndikim në nivelin e pagesës?</w:t>
            </w:r>
          </w:p>
        </w:tc>
        <w:tc>
          <w:tcPr>
            <w:tcW w:w="810" w:type="dxa"/>
          </w:tcPr>
          <w:p w14:paraId="3A1179CF" w14:textId="77777777" w:rsidR="00C92E14" w:rsidRPr="00937662" w:rsidRDefault="00C92E14" w:rsidP="00C92E14"/>
        </w:tc>
        <w:tc>
          <w:tcPr>
            <w:tcW w:w="810" w:type="dxa"/>
          </w:tcPr>
          <w:p w14:paraId="4B7ADB28" w14:textId="77777777" w:rsidR="00C92E14" w:rsidRPr="00937662" w:rsidRDefault="00C92E14" w:rsidP="00C92E14">
            <w:r w:rsidRPr="00937662">
              <w:t>x</w:t>
            </w:r>
          </w:p>
        </w:tc>
        <w:tc>
          <w:tcPr>
            <w:tcW w:w="1440" w:type="dxa"/>
          </w:tcPr>
          <w:p w14:paraId="43366905" w14:textId="77777777" w:rsidR="00C92E14" w:rsidRPr="00937662" w:rsidRDefault="00C92E14" w:rsidP="00C92E14"/>
        </w:tc>
        <w:tc>
          <w:tcPr>
            <w:tcW w:w="1260" w:type="dxa"/>
          </w:tcPr>
          <w:p w14:paraId="1967B657" w14:textId="77777777" w:rsidR="00C92E14" w:rsidRPr="00937662" w:rsidRDefault="00C92E14" w:rsidP="00C92E14"/>
        </w:tc>
        <w:tc>
          <w:tcPr>
            <w:tcW w:w="1980" w:type="dxa"/>
          </w:tcPr>
          <w:p w14:paraId="3ACAF30F" w14:textId="77777777" w:rsidR="00C92E14" w:rsidRPr="00937662" w:rsidRDefault="00C92E14" w:rsidP="00C92E14"/>
        </w:tc>
      </w:tr>
      <w:tr w:rsidR="00C92E14" w:rsidRPr="00937662" w14:paraId="16F83A9E" w14:textId="77777777" w:rsidTr="003E4E3B">
        <w:tc>
          <w:tcPr>
            <w:tcW w:w="1260" w:type="dxa"/>
            <w:vMerge/>
          </w:tcPr>
          <w:p w14:paraId="78886E5F" w14:textId="77777777" w:rsidR="00C92E14" w:rsidRPr="00937662" w:rsidRDefault="00C92E14" w:rsidP="00C92E14"/>
        </w:tc>
        <w:tc>
          <w:tcPr>
            <w:tcW w:w="2610" w:type="dxa"/>
          </w:tcPr>
          <w:p w14:paraId="24FF2BE6" w14:textId="77777777" w:rsidR="00C92E14" w:rsidRPr="00937662" w:rsidRDefault="00C92E14" w:rsidP="00C92E14">
            <w:r w:rsidRPr="00937662">
              <w:t>A do të ketë ndikim në lehtësimin e gjetjes së një vendi të punës?</w:t>
            </w:r>
          </w:p>
        </w:tc>
        <w:tc>
          <w:tcPr>
            <w:tcW w:w="810" w:type="dxa"/>
          </w:tcPr>
          <w:p w14:paraId="6C43D3EB" w14:textId="77777777" w:rsidR="00C92E14" w:rsidRPr="00937662" w:rsidRDefault="00C92E14" w:rsidP="00C92E14"/>
        </w:tc>
        <w:tc>
          <w:tcPr>
            <w:tcW w:w="810" w:type="dxa"/>
          </w:tcPr>
          <w:p w14:paraId="0125D583" w14:textId="41C4D774" w:rsidR="00C92E14" w:rsidRPr="00937662" w:rsidRDefault="00B04DFA" w:rsidP="00C92E14">
            <w:r>
              <w:t>x</w:t>
            </w:r>
          </w:p>
        </w:tc>
        <w:tc>
          <w:tcPr>
            <w:tcW w:w="1440" w:type="dxa"/>
          </w:tcPr>
          <w:p w14:paraId="237CAEE0" w14:textId="77777777" w:rsidR="00C92E14" w:rsidRPr="00937662" w:rsidRDefault="00C92E14" w:rsidP="00C92E14"/>
        </w:tc>
        <w:tc>
          <w:tcPr>
            <w:tcW w:w="1260" w:type="dxa"/>
          </w:tcPr>
          <w:p w14:paraId="014D8845" w14:textId="77777777" w:rsidR="00C92E14" w:rsidRPr="00937662" w:rsidRDefault="00C92E14" w:rsidP="00C92E14"/>
        </w:tc>
        <w:tc>
          <w:tcPr>
            <w:tcW w:w="1980" w:type="dxa"/>
          </w:tcPr>
          <w:p w14:paraId="16716339" w14:textId="77777777" w:rsidR="00C92E14" w:rsidRPr="00937662" w:rsidRDefault="00C92E14" w:rsidP="00C92E14"/>
        </w:tc>
      </w:tr>
      <w:tr w:rsidR="00C92E14" w:rsidRPr="00937662" w14:paraId="001FD6C1" w14:textId="77777777" w:rsidTr="003E4E3B">
        <w:tc>
          <w:tcPr>
            <w:tcW w:w="1260" w:type="dxa"/>
          </w:tcPr>
          <w:p w14:paraId="4BED8FDF" w14:textId="77777777" w:rsidR="00C92E14" w:rsidRPr="00937662" w:rsidRDefault="00C92E14" w:rsidP="00C92E14">
            <w:r w:rsidRPr="00937662">
              <w:t>Ndikimet sociale rajonale</w:t>
            </w:r>
          </w:p>
        </w:tc>
        <w:tc>
          <w:tcPr>
            <w:tcW w:w="2610" w:type="dxa"/>
          </w:tcPr>
          <w:p w14:paraId="73B53AFF" w14:textId="77777777" w:rsidR="00C92E14" w:rsidRPr="00937662" w:rsidRDefault="00C92E14" w:rsidP="00C92E14">
            <w:r w:rsidRPr="00937662">
              <w:t>A janë ndikimet shoqërore të përqendruara në ndonjë rajon ose qytet të veçantë?</w:t>
            </w:r>
          </w:p>
        </w:tc>
        <w:tc>
          <w:tcPr>
            <w:tcW w:w="810" w:type="dxa"/>
          </w:tcPr>
          <w:p w14:paraId="0AA53270" w14:textId="77777777" w:rsidR="00C92E14" w:rsidRPr="00937662" w:rsidRDefault="00C92E14" w:rsidP="00C92E14"/>
        </w:tc>
        <w:tc>
          <w:tcPr>
            <w:tcW w:w="810" w:type="dxa"/>
          </w:tcPr>
          <w:p w14:paraId="7E8CB871" w14:textId="77777777" w:rsidR="00C92E14" w:rsidRPr="00937662" w:rsidRDefault="00C92E14" w:rsidP="00C92E14">
            <w:r w:rsidRPr="00937662">
              <w:t>x</w:t>
            </w:r>
          </w:p>
        </w:tc>
        <w:tc>
          <w:tcPr>
            <w:tcW w:w="1440" w:type="dxa"/>
          </w:tcPr>
          <w:p w14:paraId="778CCB5F" w14:textId="77777777" w:rsidR="00C92E14" w:rsidRPr="00937662" w:rsidRDefault="00C92E14" w:rsidP="00C92E14"/>
        </w:tc>
        <w:tc>
          <w:tcPr>
            <w:tcW w:w="1260" w:type="dxa"/>
          </w:tcPr>
          <w:p w14:paraId="6F62F352" w14:textId="77777777" w:rsidR="00C92E14" w:rsidRPr="00937662" w:rsidRDefault="00C92E14" w:rsidP="00C92E14"/>
        </w:tc>
        <w:tc>
          <w:tcPr>
            <w:tcW w:w="1980" w:type="dxa"/>
          </w:tcPr>
          <w:p w14:paraId="421D7BB6" w14:textId="77777777" w:rsidR="00C92E14" w:rsidRPr="00937662" w:rsidRDefault="00C92E14" w:rsidP="00C92E14"/>
        </w:tc>
      </w:tr>
      <w:tr w:rsidR="00C92E14" w:rsidRPr="00937662" w14:paraId="29472D85" w14:textId="77777777" w:rsidTr="003E4E3B">
        <w:tc>
          <w:tcPr>
            <w:tcW w:w="1260" w:type="dxa"/>
            <w:vMerge w:val="restart"/>
          </w:tcPr>
          <w:p w14:paraId="607E5139" w14:textId="77777777" w:rsidR="00C92E14" w:rsidRPr="00937662" w:rsidRDefault="00C92E14" w:rsidP="00C92E14">
            <w:r w:rsidRPr="00937662">
              <w:t>Kushtet e punës</w:t>
            </w:r>
          </w:p>
        </w:tc>
        <w:tc>
          <w:tcPr>
            <w:tcW w:w="2610" w:type="dxa"/>
          </w:tcPr>
          <w:p w14:paraId="68FEF0DE" w14:textId="77777777" w:rsidR="00C92E14" w:rsidRPr="00937662" w:rsidRDefault="00C92E14" w:rsidP="00C92E14">
            <w:r w:rsidRPr="00937662">
              <w:t>A preken të drejtat e punëtorëve?</w:t>
            </w:r>
          </w:p>
        </w:tc>
        <w:tc>
          <w:tcPr>
            <w:tcW w:w="810" w:type="dxa"/>
          </w:tcPr>
          <w:p w14:paraId="176B51DD" w14:textId="77777777" w:rsidR="00C92E14" w:rsidRPr="00937662" w:rsidRDefault="00C92E14" w:rsidP="00C92E14"/>
        </w:tc>
        <w:tc>
          <w:tcPr>
            <w:tcW w:w="810" w:type="dxa"/>
          </w:tcPr>
          <w:p w14:paraId="0B303D44" w14:textId="77777777" w:rsidR="00C92E14" w:rsidRPr="00937662" w:rsidRDefault="00C92E14" w:rsidP="00C92E14">
            <w:r w:rsidRPr="00937662">
              <w:t>x</w:t>
            </w:r>
          </w:p>
        </w:tc>
        <w:tc>
          <w:tcPr>
            <w:tcW w:w="1440" w:type="dxa"/>
          </w:tcPr>
          <w:p w14:paraId="54AB1319" w14:textId="77777777" w:rsidR="00C92E14" w:rsidRPr="00937662" w:rsidRDefault="00C92E14" w:rsidP="00C92E14"/>
        </w:tc>
        <w:tc>
          <w:tcPr>
            <w:tcW w:w="1260" w:type="dxa"/>
          </w:tcPr>
          <w:p w14:paraId="4208852B" w14:textId="77777777" w:rsidR="00C92E14" w:rsidRPr="00937662" w:rsidRDefault="00C92E14" w:rsidP="00C92E14"/>
        </w:tc>
        <w:tc>
          <w:tcPr>
            <w:tcW w:w="1980" w:type="dxa"/>
          </w:tcPr>
          <w:p w14:paraId="5BE9895A" w14:textId="77777777" w:rsidR="00C92E14" w:rsidRPr="00937662" w:rsidRDefault="00C92E14" w:rsidP="00C92E14"/>
        </w:tc>
      </w:tr>
      <w:tr w:rsidR="00C92E14" w:rsidRPr="00937662" w14:paraId="63B71D10" w14:textId="77777777" w:rsidTr="003E4E3B">
        <w:tc>
          <w:tcPr>
            <w:tcW w:w="1260" w:type="dxa"/>
            <w:vMerge/>
          </w:tcPr>
          <w:p w14:paraId="2AAA0968" w14:textId="77777777" w:rsidR="00C92E14" w:rsidRPr="00937662" w:rsidRDefault="00C92E14" w:rsidP="00C92E14"/>
        </w:tc>
        <w:tc>
          <w:tcPr>
            <w:tcW w:w="2610" w:type="dxa"/>
          </w:tcPr>
          <w:p w14:paraId="58379633" w14:textId="77777777" w:rsidR="00C92E14" w:rsidRPr="00937662" w:rsidRDefault="00C92E14" w:rsidP="00C92E14">
            <w:r w:rsidRPr="00937662">
              <w:t>A parashihen apo shfuqizohen standardet e punës në kushte të rrezikshme?  (parashihen standarde më të mira)</w:t>
            </w:r>
          </w:p>
        </w:tc>
        <w:tc>
          <w:tcPr>
            <w:tcW w:w="810" w:type="dxa"/>
          </w:tcPr>
          <w:p w14:paraId="6789FDF0" w14:textId="2158DCCD" w:rsidR="00C92E14" w:rsidRPr="00937662" w:rsidRDefault="00C92E14" w:rsidP="00C92E14"/>
        </w:tc>
        <w:tc>
          <w:tcPr>
            <w:tcW w:w="810" w:type="dxa"/>
          </w:tcPr>
          <w:p w14:paraId="33DFD11B" w14:textId="671EBD81" w:rsidR="00C92E14" w:rsidRPr="00937662" w:rsidRDefault="00B04DFA" w:rsidP="00C92E14">
            <w:r w:rsidRPr="00B04DFA">
              <w:t>x</w:t>
            </w:r>
          </w:p>
        </w:tc>
        <w:tc>
          <w:tcPr>
            <w:tcW w:w="1440" w:type="dxa"/>
          </w:tcPr>
          <w:p w14:paraId="2C65C862" w14:textId="77777777" w:rsidR="00C92E14" w:rsidRPr="00937662" w:rsidRDefault="00C92E14" w:rsidP="00C92E14">
            <w:r w:rsidRPr="00937662">
              <w:t>E lartë</w:t>
            </w:r>
          </w:p>
        </w:tc>
        <w:tc>
          <w:tcPr>
            <w:tcW w:w="1260" w:type="dxa"/>
          </w:tcPr>
          <w:p w14:paraId="57C52DB1" w14:textId="77777777" w:rsidR="00C92E14" w:rsidRPr="00937662" w:rsidRDefault="00C92E14" w:rsidP="00C92E14">
            <w:r w:rsidRPr="00937662">
              <w:t>E ulët</w:t>
            </w:r>
          </w:p>
        </w:tc>
        <w:tc>
          <w:tcPr>
            <w:tcW w:w="1980" w:type="dxa"/>
          </w:tcPr>
          <w:p w14:paraId="4276D430" w14:textId="77777777" w:rsidR="00C92E14" w:rsidRPr="00937662" w:rsidRDefault="00C92E14" w:rsidP="00C92E14"/>
        </w:tc>
      </w:tr>
      <w:tr w:rsidR="00C92E14" w:rsidRPr="00937662" w14:paraId="7765B928" w14:textId="77777777" w:rsidTr="003E4E3B">
        <w:tc>
          <w:tcPr>
            <w:tcW w:w="1260" w:type="dxa"/>
            <w:vMerge/>
          </w:tcPr>
          <w:p w14:paraId="02E2D0AC" w14:textId="77777777" w:rsidR="00C92E14" w:rsidRPr="00937662" w:rsidRDefault="00C92E14" w:rsidP="00C92E14"/>
        </w:tc>
        <w:tc>
          <w:tcPr>
            <w:tcW w:w="2610" w:type="dxa"/>
          </w:tcPr>
          <w:p w14:paraId="526C1280" w14:textId="77777777" w:rsidR="00C92E14" w:rsidRPr="00937662" w:rsidRDefault="00C92E14" w:rsidP="00C92E14">
            <w:r w:rsidRPr="00937662">
              <w:t>A do të ketë ndikim në mënyrën e dialogut shoqëror ndërmjet të punësuarve dhe punëdhënësve?</w:t>
            </w:r>
          </w:p>
        </w:tc>
        <w:tc>
          <w:tcPr>
            <w:tcW w:w="810" w:type="dxa"/>
          </w:tcPr>
          <w:p w14:paraId="170EA54D" w14:textId="77777777" w:rsidR="00C92E14" w:rsidRPr="00937662" w:rsidRDefault="00C92E14" w:rsidP="00C92E14"/>
        </w:tc>
        <w:tc>
          <w:tcPr>
            <w:tcW w:w="810" w:type="dxa"/>
          </w:tcPr>
          <w:p w14:paraId="27E83B90" w14:textId="77777777" w:rsidR="00C92E14" w:rsidRPr="00937662" w:rsidRDefault="00C92E14" w:rsidP="00C92E14">
            <w:r w:rsidRPr="00937662">
              <w:t>x</w:t>
            </w:r>
          </w:p>
        </w:tc>
        <w:tc>
          <w:tcPr>
            <w:tcW w:w="1440" w:type="dxa"/>
          </w:tcPr>
          <w:p w14:paraId="1341CCD2" w14:textId="77777777" w:rsidR="00C92E14" w:rsidRPr="00937662" w:rsidRDefault="00C92E14" w:rsidP="00C92E14"/>
        </w:tc>
        <w:tc>
          <w:tcPr>
            <w:tcW w:w="1260" w:type="dxa"/>
          </w:tcPr>
          <w:p w14:paraId="5E5B4F08" w14:textId="77777777" w:rsidR="00C92E14" w:rsidRPr="00937662" w:rsidRDefault="00C92E14" w:rsidP="00C92E14"/>
        </w:tc>
        <w:tc>
          <w:tcPr>
            <w:tcW w:w="1980" w:type="dxa"/>
          </w:tcPr>
          <w:p w14:paraId="6FF3CF54" w14:textId="77777777" w:rsidR="00C92E14" w:rsidRPr="00937662" w:rsidRDefault="00C92E14" w:rsidP="00C92E14"/>
        </w:tc>
      </w:tr>
      <w:tr w:rsidR="00C92E14" w:rsidRPr="00937662" w14:paraId="593B99D3" w14:textId="77777777" w:rsidTr="003E4E3B">
        <w:tc>
          <w:tcPr>
            <w:tcW w:w="1260" w:type="dxa"/>
            <w:vMerge w:val="restart"/>
          </w:tcPr>
          <w:p w14:paraId="147D2640" w14:textId="77777777" w:rsidR="00C92E14" w:rsidRPr="00937662" w:rsidRDefault="00C92E14" w:rsidP="00C92E14">
            <w:r w:rsidRPr="00937662">
              <w:t>Përfshirja sociale</w:t>
            </w:r>
          </w:p>
        </w:tc>
        <w:tc>
          <w:tcPr>
            <w:tcW w:w="2610" w:type="dxa"/>
          </w:tcPr>
          <w:p w14:paraId="20311C53" w14:textId="77777777" w:rsidR="00C92E14" w:rsidRPr="00937662" w:rsidRDefault="00C92E14" w:rsidP="00C92E14">
            <w:r w:rsidRPr="00937662">
              <w:t>A do të ndikojë në varfëri?</w:t>
            </w:r>
          </w:p>
        </w:tc>
        <w:tc>
          <w:tcPr>
            <w:tcW w:w="810" w:type="dxa"/>
          </w:tcPr>
          <w:p w14:paraId="1718630A" w14:textId="77777777" w:rsidR="00C92E14" w:rsidRPr="00937662" w:rsidRDefault="00C92E14" w:rsidP="00C92E14"/>
        </w:tc>
        <w:tc>
          <w:tcPr>
            <w:tcW w:w="810" w:type="dxa"/>
          </w:tcPr>
          <w:p w14:paraId="1D9C23AB" w14:textId="77777777" w:rsidR="00C92E14" w:rsidRPr="00937662" w:rsidRDefault="00C92E14" w:rsidP="00C92E14">
            <w:r w:rsidRPr="00937662">
              <w:t>x</w:t>
            </w:r>
          </w:p>
        </w:tc>
        <w:tc>
          <w:tcPr>
            <w:tcW w:w="1440" w:type="dxa"/>
          </w:tcPr>
          <w:p w14:paraId="0A1110F8" w14:textId="77777777" w:rsidR="00C92E14" w:rsidRPr="00937662" w:rsidRDefault="00C92E14" w:rsidP="00C92E14"/>
        </w:tc>
        <w:tc>
          <w:tcPr>
            <w:tcW w:w="1260" w:type="dxa"/>
          </w:tcPr>
          <w:p w14:paraId="4BC4B643" w14:textId="77777777" w:rsidR="00C92E14" w:rsidRPr="00937662" w:rsidRDefault="00C92E14" w:rsidP="00C92E14"/>
        </w:tc>
        <w:tc>
          <w:tcPr>
            <w:tcW w:w="1980" w:type="dxa"/>
          </w:tcPr>
          <w:p w14:paraId="5490FCB5" w14:textId="77777777" w:rsidR="00C92E14" w:rsidRPr="00937662" w:rsidRDefault="00C92E14" w:rsidP="00C92E14"/>
        </w:tc>
      </w:tr>
      <w:tr w:rsidR="00C92E14" w:rsidRPr="00937662" w14:paraId="5107464D" w14:textId="77777777" w:rsidTr="003E4E3B">
        <w:tc>
          <w:tcPr>
            <w:tcW w:w="1260" w:type="dxa"/>
            <w:vMerge/>
          </w:tcPr>
          <w:p w14:paraId="5E8906F9" w14:textId="77777777" w:rsidR="00C92E14" w:rsidRPr="00937662" w:rsidRDefault="00C92E14" w:rsidP="00C92E14"/>
        </w:tc>
        <w:tc>
          <w:tcPr>
            <w:tcW w:w="2610" w:type="dxa"/>
          </w:tcPr>
          <w:p w14:paraId="49DD57B2" w14:textId="77777777" w:rsidR="00C92E14" w:rsidRPr="00937662" w:rsidRDefault="00C92E14" w:rsidP="00C92E14">
            <w:r w:rsidRPr="00937662">
              <w:t>A do të ketë ndikim në qasjen në skemat e mbrojtjes sociale?</w:t>
            </w:r>
          </w:p>
        </w:tc>
        <w:tc>
          <w:tcPr>
            <w:tcW w:w="810" w:type="dxa"/>
          </w:tcPr>
          <w:p w14:paraId="4B7A2E51" w14:textId="77777777" w:rsidR="00C92E14" w:rsidRPr="00937662" w:rsidRDefault="00C92E14" w:rsidP="00C92E14"/>
        </w:tc>
        <w:tc>
          <w:tcPr>
            <w:tcW w:w="810" w:type="dxa"/>
          </w:tcPr>
          <w:p w14:paraId="294FAD6C" w14:textId="0F04C1B1" w:rsidR="00C92E14" w:rsidRPr="00937662" w:rsidRDefault="00C92E14" w:rsidP="00C92E14"/>
        </w:tc>
        <w:tc>
          <w:tcPr>
            <w:tcW w:w="1440" w:type="dxa"/>
          </w:tcPr>
          <w:p w14:paraId="70BCD376" w14:textId="77777777" w:rsidR="00C92E14" w:rsidRPr="00937662" w:rsidRDefault="00C92E14" w:rsidP="00C92E14"/>
        </w:tc>
        <w:tc>
          <w:tcPr>
            <w:tcW w:w="1260" w:type="dxa"/>
          </w:tcPr>
          <w:p w14:paraId="17093DCC" w14:textId="77777777" w:rsidR="00C92E14" w:rsidRPr="00937662" w:rsidRDefault="00C92E14" w:rsidP="00C92E14"/>
        </w:tc>
        <w:tc>
          <w:tcPr>
            <w:tcW w:w="1980" w:type="dxa"/>
          </w:tcPr>
          <w:p w14:paraId="58946C30" w14:textId="77777777" w:rsidR="00C92E14" w:rsidRPr="00937662" w:rsidRDefault="00C92E14" w:rsidP="00C92E14"/>
        </w:tc>
      </w:tr>
      <w:tr w:rsidR="00C92E14" w:rsidRPr="00937662" w14:paraId="2BB9D4B5" w14:textId="77777777" w:rsidTr="003E4E3B">
        <w:tc>
          <w:tcPr>
            <w:tcW w:w="1260" w:type="dxa"/>
            <w:vMerge/>
          </w:tcPr>
          <w:p w14:paraId="1F20E226" w14:textId="77777777" w:rsidR="00C92E14" w:rsidRPr="00937662" w:rsidRDefault="00C92E14" w:rsidP="00C92E14"/>
        </w:tc>
        <w:tc>
          <w:tcPr>
            <w:tcW w:w="2610" w:type="dxa"/>
          </w:tcPr>
          <w:p w14:paraId="4B908E0A" w14:textId="77777777" w:rsidR="00C92E14" w:rsidRPr="00937662" w:rsidRDefault="00C92E14" w:rsidP="00C92E14">
            <w:r w:rsidRPr="00937662">
              <w:t>A do të ndryshojë çmimi i mallrave dhe shërbimeve ekzistuese?</w:t>
            </w:r>
          </w:p>
        </w:tc>
        <w:tc>
          <w:tcPr>
            <w:tcW w:w="810" w:type="dxa"/>
          </w:tcPr>
          <w:p w14:paraId="03A6055B" w14:textId="77777777" w:rsidR="00C92E14" w:rsidRPr="00937662" w:rsidRDefault="00C92E14" w:rsidP="00C92E14"/>
        </w:tc>
        <w:tc>
          <w:tcPr>
            <w:tcW w:w="810" w:type="dxa"/>
          </w:tcPr>
          <w:p w14:paraId="132820DE" w14:textId="44876610" w:rsidR="00C92E14" w:rsidRPr="00937662" w:rsidRDefault="00C92E14" w:rsidP="00C92E14"/>
        </w:tc>
        <w:tc>
          <w:tcPr>
            <w:tcW w:w="1440" w:type="dxa"/>
          </w:tcPr>
          <w:p w14:paraId="0581AFF5" w14:textId="77777777" w:rsidR="00C92E14" w:rsidRPr="00937662" w:rsidRDefault="00C92E14" w:rsidP="00C92E14"/>
        </w:tc>
        <w:tc>
          <w:tcPr>
            <w:tcW w:w="1260" w:type="dxa"/>
          </w:tcPr>
          <w:p w14:paraId="5B47EC2B" w14:textId="77777777" w:rsidR="00C92E14" w:rsidRPr="00937662" w:rsidRDefault="00C92E14" w:rsidP="00C92E14"/>
        </w:tc>
        <w:tc>
          <w:tcPr>
            <w:tcW w:w="1980" w:type="dxa"/>
          </w:tcPr>
          <w:p w14:paraId="713C273A" w14:textId="77777777" w:rsidR="00C92E14" w:rsidRPr="00937662" w:rsidRDefault="00C92E14" w:rsidP="00C92E14"/>
        </w:tc>
      </w:tr>
      <w:tr w:rsidR="00C92E14" w:rsidRPr="00937662" w14:paraId="47980CB7" w14:textId="77777777" w:rsidTr="003E4E3B">
        <w:tc>
          <w:tcPr>
            <w:tcW w:w="1260" w:type="dxa"/>
            <w:vMerge/>
          </w:tcPr>
          <w:p w14:paraId="1321E851" w14:textId="77777777" w:rsidR="00C92E14" w:rsidRPr="00937662" w:rsidRDefault="00C92E14" w:rsidP="00C92E14"/>
        </w:tc>
        <w:tc>
          <w:tcPr>
            <w:tcW w:w="2610" w:type="dxa"/>
          </w:tcPr>
          <w:p w14:paraId="16DA269F" w14:textId="77777777" w:rsidR="00C92E14" w:rsidRPr="00937662" w:rsidRDefault="00C92E14" w:rsidP="00C92E14">
            <w:r w:rsidRPr="00937662">
              <w:t>A do të ketë ndikim në financimin ose organizimin e skemave të mbrojtjes sociale?</w:t>
            </w:r>
          </w:p>
        </w:tc>
        <w:tc>
          <w:tcPr>
            <w:tcW w:w="810" w:type="dxa"/>
          </w:tcPr>
          <w:p w14:paraId="4A086845" w14:textId="77777777" w:rsidR="00C92E14" w:rsidRPr="00937662" w:rsidRDefault="00C92E14" w:rsidP="00C92E14"/>
        </w:tc>
        <w:tc>
          <w:tcPr>
            <w:tcW w:w="810" w:type="dxa"/>
          </w:tcPr>
          <w:p w14:paraId="3F94F5FC" w14:textId="19634796" w:rsidR="00C92E14" w:rsidRPr="00937662" w:rsidRDefault="00C92E14" w:rsidP="00C92E14"/>
        </w:tc>
        <w:tc>
          <w:tcPr>
            <w:tcW w:w="1440" w:type="dxa"/>
          </w:tcPr>
          <w:p w14:paraId="50AD92FF" w14:textId="77777777" w:rsidR="00C92E14" w:rsidRPr="00937662" w:rsidRDefault="00C92E14" w:rsidP="00C92E14"/>
        </w:tc>
        <w:tc>
          <w:tcPr>
            <w:tcW w:w="1260" w:type="dxa"/>
          </w:tcPr>
          <w:p w14:paraId="2DED214C" w14:textId="77777777" w:rsidR="00C92E14" w:rsidRPr="00937662" w:rsidRDefault="00C92E14" w:rsidP="00C92E14"/>
        </w:tc>
        <w:tc>
          <w:tcPr>
            <w:tcW w:w="1980" w:type="dxa"/>
          </w:tcPr>
          <w:p w14:paraId="7D232038" w14:textId="77777777" w:rsidR="00C92E14" w:rsidRPr="00937662" w:rsidRDefault="00C92E14" w:rsidP="00C92E14"/>
        </w:tc>
      </w:tr>
      <w:tr w:rsidR="00C92E14" w:rsidRPr="00937662" w14:paraId="20B59870" w14:textId="77777777" w:rsidTr="003E4E3B">
        <w:tc>
          <w:tcPr>
            <w:tcW w:w="1260" w:type="dxa"/>
            <w:vMerge w:val="restart"/>
          </w:tcPr>
          <w:p w14:paraId="2F2C9270" w14:textId="77777777" w:rsidR="00C92E14" w:rsidRPr="00937662" w:rsidRDefault="00C92E14" w:rsidP="00C92E14">
            <w:r w:rsidRPr="00937662">
              <w:t>Edukimi</w:t>
            </w:r>
          </w:p>
        </w:tc>
        <w:tc>
          <w:tcPr>
            <w:tcW w:w="2610" w:type="dxa"/>
          </w:tcPr>
          <w:p w14:paraId="5BFA90E0" w14:textId="77777777" w:rsidR="00C92E14" w:rsidRPr="00937662" w:rsidRDefault="00C92E14" w:rsidP="00C92E14">
            <w:r w:rsidRPr="00937662">
              <w:t>A do të ketë ndikim në arsimin fillor?</w:t>
            </w:r>
          </w:p>
        </w:tc>
        <w:tc>
          <w:tcPr>
            <w:tcW w:w="810" w:type="dxa"/>
          </w:tcPr>
          <w:p w14:paraId="3694D870" w14:textId="77777777" w:rsidR="00C92E14" w:rsidRPr="00937662" w:rsidRDefault="00C92E14" w:rsidP="00C92E14"/>
        </w:tc>
        <w:tc>
          <w:tcPr>
            <w:tcW w:w="810" w:type="dxa"/>
          </w:tcPr>
          <w:p w14:paraId="07400C38" w14:textId="10BDFBD2" w:rsidR="00C92E14" w:rsidRPr="00937662" w:rsidRDefault="00C92E14" w:rsidP="00C92E14"/>
        </w:tc>
        <w:tc>
          <w:tcPr>
            <w:tcW w:w="1440" w:type="dxa"/>
          </w:tcPr>
          <w:p w14:paraId="3F21776B" w14:textId="77777777" w:rsidR="00C92E14" w:rsidRPr="00937662" w:rsidRDefault="00C92E14" w:rsidP="00C92E14"/>
        </w:tc>
        <w:tc>
          <w:tcPr>
            <w:tcW w:w="1260" w:type="dxa"/>
          </w:tcPr>
          <w:p w14:paraId="01EF0AC2" w14:textId="77777777" w:rsidR="00C92E14" w:rsidRPr="00937662" w:rsidRDefault="00C92E14" w:rsidP="00C92E14"/>
        </w:tc>
        <w:tc>
          <w:tcPr>
            <w:tcW w:w="1980" w:type="dxa"/>
          </w:tcPr>
          <w:p w14:paraId="4A7C6182" w14:textId="77777777" w:rsidR="00C92E14" w:rsidRPr="00937662" w:rsidRDefault="00C92E14" w:rsidP="00C92E14"/>
        </w:tc>
      </w:tr>
      <w:tr w:rsidR="00C92E14" w:rsidRPr="00937662" w14:paraId="3E7EF8A3" w14:textId="77777777" w:rsidTr="003E4E3B">
        <w:tc>
          <w:tcPr>
            <w:tcW w:w="1260" w:type="dxa"/>
            <w:vMerge/>
          </w:tcPr>
          <w:p w14:paraId="71A5D3DB" w14:textId="77777777" w:rsidR="00C92E14" w:rsidRPr="00937662" w:rsidRDefault="00C92E14" w:rsidP="00C92E14"/>
        </w:tc>
        <w:tc>
          <w:tcPr>
            <w:tcW w:w="2610" w:type="dxa"/>
          </w:tcPr>
          <w:p w14:paraId="01BD6A3B" w14:textId="77777777" w:rsidR="00C92E14" w:rsidRPr="00937662" w:rsidRDefault="00C92E14" w:rsidP="00C92E14">
            <w:r w:rsidRPr="00937662">
              <w:t>A do të ketë ndikim në arsimin e mesëm?</w:t>
            </w:r>
          </w:p>
        </w:tc>
        <w:tc>
          <w:tcPr>
            <w:tcW w:w="810" w:type="dxa"/>
          </w:tcPr>
          <w:p w14:paraId="5AA0FBAD" w14:textId="77777777" w:rsidR="00C92E14" w:rsidRPr="00937662" w:rsidRDefault="00C92E14" w:rsidP="00C92E14"/>
        </w:tc>
        <w:tc>
          <w:tcPr>
            <w:tcW w:w="810" w:type="dxa"/>
          </w:tcPr>
          <w:p w14:paraId="6CE3F610" w14:textId="63724ED9" w:rsidR="00C92E14" w:rsidRPr="00937662" w:rsidRDefault="00C92E14" w:rsidP="00C92E14"/>
        </w:tc>
        <w:tc>
          <w:tcPr>
            <w:tcW w:w="1440" w:type="dxa"/>
          </w:tcPr>
          <w:p w14:paraId="0063A8F8" w14:textId="77777777" w:rsidR="00C92E14" w:rsidRPr="00937662" w:rsidRDefault="00C92E14" w:rsidP="00C92E14"/>
        </w:tc>
        <w:tc>
          <w:tcPr>
            <w:tcW w:w="1260" w:type="dxa"/>
          </w:tcPr>
          <w:p w14:paraId="0A55EDF7" w14:textId="77777777" w:rsidR="00C92E14" w:rsidRPr="00937662" w:rsidRDefault="00C92E14" w:rsidP="00C92E14"/>
        </w:tc>
        <w:tc>
          <w:tcPr>
            <w:tcW w:w="1980" w:type="dxa"/>
          </w:tcPr>
          <w:p w14:paraId="1D96D53B" w14:textId="77777777" w:rsidR="00C92E14" w:rsidRPr="00937662" w:rsidRDefault="00C92E14" w:rsidP="00C92E14"/>
        </w:tc>
      </w:tr>
      <w:tr w:rsidR="00C92E14" w:rsidRPr="00937662" w14:paraId="0DEFE8DE" w14:textId="77777777" w:rsidTr="003E4E3B">
        <w:tc>
          <w:tcPr>
            <w:tcW w:w="1260" w:type="dxa"/>
            <w:vMerge/>
          </w:tcPr>
          <w:p w14:paraId="2815695C" w14:textId="77777777" w:rsidR="00C92E14" w:rsidRPr="00937662" w:rsidRDefault="00C92E14" w:rsidP="00C92E14"/>
        </w:tc>
        <w:tc>
          <w:tcPr>
            <w:tcW w:w="2610" w:type="dxa"/>
          </w:tcPr>
          <w:p w14:paraId="5877AC03" w14:textId="77777777" w:rsidR="00C92E14" w:rsidRPr="00937662" w:rsidRDefault="00C92E14" w:rsidP="00C92E14">
            <w:r w:rsidRPr="00937662">
              <w:t>A do të ketë ndikim në arsimin e lartë?</w:t>
            </w:r>
          </w:p>
        </w:tc>
        <w:tc>
          <w:tcPr>
            <w:tcW w:w="810" w:type="dxa"/>
          </w:tcPr>
          <w:p w14:paraId="020ED4C6" w14:textId="77777777" w:rsidR="00C92E14" w:rsidRPr="00937662" w:rsidRDefault="00C92E14" w:rsidP="00C92E14"/>
        </w:tc>
        <w:tc>
          <w:tcPr>
            <w:tcW w:w="810" w:type="dxa"/>
          </w:tcPr>
          <w:p w14:paraId="0E054FB4" w14:textId="3347D770" w:rsidR="00C92E14" w:rsidRPr="00937662" w:rsidRDefault="00C92E14" w:rsidP="00C92E14"/>
        </w:tc>
        <w:tc>
          <w:tcPr>
            <w:tcW w:w="1440" w:type="dxa"/>
          </w:tcPr>
          <w:p w14:paraId="7CCF6077" w14:textId="77777777" w:rsidR="00C92E14" w:rsidRPr="00937662" w:rsidRDefault="00C92E14" w:rsidP="00C92E14"/>
        </w:tc>
        <w:tc>
          <w:tcPr>
            <w:tcW w:w="1260" w:type="dxa"/>
          </w:tcPr>
          <w:p w14:paraId="3AB4AF4A" w14:textId="77777777" w:rsidR="00C92E14" w:rsidRPr="00937662" w:rsidRDefault="00C92E14" w:rsidP="00C92E14"/>
        </w:tc>
        <w:tc>
          <w:tcPr>
            <w:tcW w:w="1980" w:type="dxa"/>
          </w:tcPr>
          <w:p w14:paraId="40B57FAD" w14:textId="77777777" w:rsidR="00C92E14" w:rsidRPr="00937662" w:rsidRDefault="00C92E14" w:rsidP="00C92E14"/>
        </w:tc>
      </w:tr>
      <w:tr w:rsidR="00C92E14" w:rsidRPr="00937662" w14:paraId="27EC33B5" w14:textId="77777777" w:rsidTr="003E4E3B">
        <w:tc>
          <w:tcPr>
            <w:tcW w:w="1260" w:type="dxa"/>
            <w:vMerge/>
          </w:tcPr>
          <w:p w14:paraId="47C53808" w14:textId="77777777" w:rsidR="00C92E14" w:rsidRPr="00937662" w:rsidRDefault="00C92E14" w:rsidP="00C92E14"/>
        </w:tc>
        <w:tc>
          <w:tcPr>
            <w:tcW w:w="2610" w:type="dxa"/>
          </w:tcPr>
          <w:p w14:paraId="74036B43" w14:textId="77777777" w:rsidR="00C92E14" w:rsidRPr="00937662" w:rsidRDefault="00C92E14" w:rsidP="00C92E14">
            <w:r w:rsidRPr="00937662">
              <w:t>A do të ketë ndikim në trajnimin profesional?</w:t>
            </w:r>
          </w:p>
        </w:tc>
        <w:tc>
          <w:tcPr>
            <w:tcW w:w="810" w:type="dxa"/>
          </w:tcPr>
          <w:p w14:paraId="4236D9CF" w14:textId="77777777" w:rsidR="00C92E14" w:rsidRPr="00937662" w:rsidRDefault="00C92E14" w:rsidP="00C92E14"/>
        </w:tc>
        <w:tc>
          <w:tcPr>
            <w:tcW w:w="810" w:type="dxa"/>
          </w:tcPr>
          <w:p w14:paraId="4D4EA667" w14:textId="6620C026" w:rsidR="00C92E14" w:rsidRPr="00937662" w:rsidRDefault="00C92E14" w:rsidP="00C92E14"/>
        </w:tc>
        <w:tc>
          <w:tcPr>
            <w:tcW w:w="1440" w:type="dxa"/>
          </w:tcPr>
          <w:p w14:paraId="5D528CD7" w14:textId="77777777" w:rsidR="00C92E14" w:rsidRPr="00937662" w:rsidRDefault="00C92E14" w:rsidP="00C92E14"/>
        </w:tc>
        <w:tc>
          <w:tcPr>
            <w:tcW w:w="1260" w:type="dxa"/>
          </w:tcPr>
          <w:p w14:paraId="42F202A0" w14:textId="77777777" w:rsidR="00C92E14" w:rsidRPr="00937662" w:rsidRDefault="00C92E14" w:rsidP="00C92E14"/>
        </w:tc>
        <w:tc>
          <w:tcPr>
            <w:tcW w:w="1980" w:type="dxa"/>
          </w:tcPr>
          <w:p w14:paraId="595B8AE4" w14:textId="77777777" w:rsidR="00C92E14" w:rsidRPr="00937662" w:rsidRDefault="00C92E14" w:rsidP="00C92E14"/>
        </w:tc>
      </w:tr>
      <w:tr w:rsidR="00C92E14" w:rsidRPr="00937662" w14:paraId="7FC68EF0" w14:textId="77777777" w:rsidTr="003E4E3B">
        <w:tc>
          <w:tcPr>
            <w:tcW w:w="1260" w:type="dxa"/>
            <w:vMerge/>
          </w:tcPr>
          <w:p w14:paraId="2B88694B" w14:textId="77777777" w:rsidR="00C92E14" w:rsidRPr="00937662" w:rsidRDefault="00C92E14" w:rsidP="00C92E14"/>
        </w:tc>
        <w:tc>
          <w:tcPr>
            <w:tcW w:w="2610" w:type="dxa"/>
          </w:tcPr>
          <w:p w14:paraId="2B3C211D" w14:textId="77777777" w:rsidR="00C92E14" w:rsidRPr="00937662" w:rsidRDefault="00C92E14" w:rsidP="00C92E14">
            <w:r w:rsidRPr="00937662">
              <w:t>A do të ketë ndikim në aftësimin e punëtorëve dhe shkollimin gjithë jetësor?</w:t>
            </w:r>
          </w:p>
        </w:tc>
        <w:tc>
          <w:tcPr>
            <w:tcW w:w="810" w:type="dxa"/>
          </w:tcPr>
          <w:p w14:paraId="3CCF1839" w14:textId="77777777" w:rsidR="00C92E14" w:rsidRPr="00937662" w:rsidRDefault="00C92E14" w:rsidP="00C92E14"/>
        </w:tc>
        <w:tc>
          <w:tcPr>
            <w:tcW w:w="810" w:type="dxa"/>
          </w:tcPr>
          <w:p w14:paraId="6FE10F82" w14:textId="654181A3" w:rsidR="00C92E14" w:rsidRPr="00937662" w:rsidRDefault="00C92E14" w:rsidP="00C92E14"/>
        </w:tc>
        <w:tc>
          <w:tcPr>
            <w:tcW w:w="1440" w:type="dxa"/>
          </w:tcPr>
          <w:p w14:paraId="281CCF09" w14:textId="77777777" w:rsidR="00C92E14" w:rsidRPr="00937662" w:rsidRDefault="00C92E14" w:rsidP="00C92E14"/>
        </w:tc>
        <w:tc>
          <w:tcPr>
            <w:tcW w:w="1260" w:type="dxa"/>
          </w:tcPr>
          <w:p w14:paraId="743F59D1" w14:textId="77777777" w:rsidR="00C92E14" w:rsidRPr="00937662" w:rsidRDefault="00C92E14" w:rsidP="00C92E14"/>
        </w:tc>
        <w:tc>
          <w:tcPr>
            <w:tcW w:w="1980" w:type="dxa"/>
          </w:tcPr>
          <w:p w14:paraId="3D65A70E" w14:textId="77777777" w:rsidR="00C92E14" w:rsidRPr="00937662" w:rsidRDefault="00C92E14" w:rsidP="00C92E14"/>
        </w:tc>
      </w:tr>
      <w:tr w:rsidR="00C92E14" w:rsidRPr="00937662" w14:paraId="1DDE93E3" w14:textId="77777777" w:rsidTr="003E4E3B">
        <w:tc>
          <w:tcPr>
            <w:tcW w:w="1260" w:type="dxa"/>
            <w:vMerge/>
          </w:tcPr>
          <w:p w14:paraId="7F6678A2" w14:textId="77777777" w:rsidR="00C92E14" w:rsidRPr="00937662" w:rsidRDefault="00C92E14" w:rsidP="00C92E14"/>
        </w:tc>
        <w:tc>
          <w:tcPr>
            <w:tcW w:w="2610" w:type="dxa"/>
          </w:tcPr>
          <w:p w14:paraId="192ECAFA" w14:textId="77777777" w:rsidR="00C92E14" w:rsidRPr="00937662" w:rsidRDefault="00C92E14" w:rsidP="00C92E14">
            <w:r w:rsidRPr="00937662">
              <w:t>A do të ketë ndikim në organizimin ose strukturën e sistemit arsimor?</w:t>
            </w:r>
          </w:p>
        </w:tc>
        <w:tc>
          <w:tcPr>
            <w:tcW w:w="810" w:type="dxa"/>
          </w:tcPr>
          <w:p w14:paraId="332D907E" w14:textId="77777777" w:rsidR="00C92E14" w:rsidRPr="00937662" w:rsidRDefault="00C92E14" w:rsidP="00C92E14"/>
        </w:tc>
        <w:tc>
          <w:tcPr>
            <w:tcW w:w="810" w:type="dxa"/>
          </w:tcPr>
          <w:p w14:paraId="760D0A09" w14:textId="1D173D75" w:rsidR="00C92E14" w:rsidRPr="00937662" w:rsidRDefault="00C92E14" w:rsidP="00C92E14"/>
        </w:tc>
        <w:tc>
          <w:tcPr>
            <w:tcW w:w="1440" w:type="dxa"/>
          </w:tcPr>
          <w:p w14:paraId="6D46FA6C" w14:textId="77777777" w:rsidR="00C92E14" w:rsidRPr="00937662" w:rsidRDefault="00C92E14" w:rsidP="00C92E14"/>
        </w:tc>
        <w:tc>
          <w:tcPr>
            <w:tcW w:w="1260" w:type="dxa"/>
          </w:tcPr>
          <w:p w14:paraId="5701E483" w14:textId="77777777" w:rsidR="00C92E14" w:rsidRPr="00937662" w:rsidRDefault="00C92E14" w:rsidP="00C92E14"/>
        </w:tc>
        <w:tc>
          <w:tcPr>
            <w:tcW w:w="1980" w:type="dxa"/>
          </w:tcPr>
          <w:p w14:paraId="7EA8695A" w14:textId="77777777" w:rsidR="00C92E14" w:rsidRPr="00937662" w:rsidRDefault="00C92E14" w:rsidP="00C92E14"/>
        </w:tc>
      </w:tr>
      <w:tr w:rsidR="00C92E14" w:rsidRPr="00937662" w14:paraId="65D89987" w14:textId="77777777" w:rsidTr="003E4E3B">
        <w:tc>
          <w:tcPr>
            <w:tcW w:w="1260" w:type="dxa"/>
            <w:vMerge/>
          </w:tcPr>
          <w:p w14:paraId="7EDC3E68" w14:textId="77777777" w:rsidR="00C92E14" w:rsidRPr="00937662" w:rsidRDefault="00C92E14" w:rsidP="00C92E14"/>
        </w:tc>
        <w:tc>
          <w:tcPr>
            <w:tcW w:w="2610" w:type="dxa"/>
          </w:tcPr>
          <w:p w14:paraId="62531EE7" w14:textId="77777777" w:rsidR="00C92E14" w:rsidRPr="00937662" w:rsidRDefault="00C92E14" w:rsidP="00C92E14">
            <w:r w:rsidRPr="00937662">
              <w:t>A do të ketë ndikim në lirinë  dhe vetëqeverisjen akademike?</w:t>
            </w:r>
          </w:p>
        </w:tc>
        <w:tc>
          <w:tcPr>
            <w:tcW w:w="810" w:type="dxa"/>
          </w:tcPr>
          <w:p w14:paraId="29D57F54" w14:textId="77777777" w:rsidR="00C92E14" w:rsidRPr="00937662" w:rsidRDefault="00C92E14" w:rsidP="00C92E14"/>
        </w:tc>
        <w:tc>
          <w:tcPr>
            <w:tcW w:w="810" w:type="dxa"/>
          </w:tcPr>
          <w:p w14:paraId="7E827335" w14:textId="1F9D72EB" w:rsidR="00C92E14" w:rsidRPr="00937662" w:rsidRDefault="00C92E14" w:rsidP="00C92E14"/>
        </w:tc>
        <w:tc>
          <w:tcPr>
            <w:tcW w:w="1440" w:type="dxa"/>
          </w:tcPr>
          <w:p w14:paraId="6D8AB335" w14:textId="77777777" w:rsidR="00C92E14" w:rsidRPr="00937662" w:rsidRDefault="00C92E14" w:rsidP="00C92E14"/>
        </w:tc>
        <w:tc>
          <w:tcPr>
            <w:tcW w:w="1260" w:type="dxa"/>
          </w:tcPr>
          <w:p w14:paraId="7D09FB4D" w14:textId="77777777" w:rsidR="00C92E14" w:rsidRPr="00937662" w:rsidRDefault="00C92E14" w:rsidP="00C92E14"/>
        </w:tc>
        <w:tc>
          <w:tcPr>
            <w:tcW w:w="1980" w:type="dxa"/>
          </w:tcPr>
          <w:p w14:paraId="02FAAD57" w14:textId="77777777" w:rsidR="00C92E14" w:rsidRPr="00937662" w:rsidRDefault="00C92E14" w:rsidP="00C92E14"/>
        </w:tc>
      </w:tr>
      <w:tr w:rsidR="00C92E14" w:rsidRPr="00937662" w14:paraId="6CC3B0C0" w14:textId="77777777" w:rsidTr="003E4E3B">
        <w:tc>
          <w:tcPr>
            <w:tcW w:w="1260" w:type="dxa"/>
            <w:vMerge w:val="restart"/>
          </w:tcPr>
          <w:p w14:paraId="4186AF5B" w14:textId="77777777" w:rsidR="00C92E14" w:rsidRPr="00937662" w:rsidRDefault="00C92E14" w:rsidP="00C92E14">
            <w:r w:rsidRPr="00937662">
              <w:t>Kultura</w:t>
            </w:r>
          </w:p>
        </w:tc>
        <w:tc>
          <w:tcPr>
            <w:tcW w:w="2610" w:type="dxa"/>
          </w:tcPr>
          <w:p w14:paraId="67020255" w14:textId="77777777" w:rsidR="00C92E14" w:rsidRPr="00937662" w:rsidRDefault="00C92E14" w:rsidP="00C92E14">
            <w:r w:rsidRPr="00937662">
              <w:t>A ndikon opsioni në larminë kulturore?</w:t>
            </w:r>
          </w:p>
        </w:tc>
        <w:tc>
          <w:tcPr>
            <w:tcW w:w="810" w:type="dxa"/>
          </w:tcPr>
          <w:p w14:paraId="532073A2" w14:textId="77777777" w:rsidR="00C92E14" w:rsidRPr="00937662" w:rsidRDefault="00C92E14" w:rsidP="00C92E14"/>
        </w:tc>
        <w:tc>
          <w:tcPr>
            <w:tcW w:w="810" w:type="dxa"/>
          </w:tcPr>
          <w:p w14:paraId="1F00F841" w14:textId="764E6ACC" w:rsidR="00C92E14" w:rsidRPr="00937662" w:rsidRDefault="00C92E14" w:rsidP="00C92E14"/>
        </w:tc>
        <w:tc>
          <w:tcPr>
            <w:tcW w:w="1440" w:type="dxa"/>
          </w:tcPr>
          <w:p w14:paraId="03408665" w14:textId="77777777" w:rsidR="00C92E14" w:rsidRPr="00937662" w:rsidRDefault="00C92E14" w:rsidP="00C92E14"/>
        </w:tc>
        <w:tc>
          <w:tcPr>
            <w:tcW w:w="1260" w:type="dxa"/>
          </w:tcPr>
          <w:p w14:paraId="5D708DAE" w14:textId="77777777" w:rsidR="00C92E14" w:rsidRPr="00937662" w:rsidRDefault="00C92E14" w:rsidP="00C92E14"/>
        </w:tc>
        <w:tc>
          <w:tcPr>
            <w:tcW w:w="1980" w:type="dxa"/>
          </w:tcPr>
          <w:p w14:paraId="41F846DF" w14:textId="77777777" w:rsidR="00C92E14" w:rsidRPr="00937662" w:rsidRDefault="00C92E14" w:rsidP="00C92E14"/>
        </w:tc>
      </w:tr>
      <w:tr w:rsidR="00C92E14" w:rsidRPr="00937662" w14:paraId="53D08D7F" w14:textId="77777777" w:rsidTr="003E4E3B">
        <w:tc>
          <w:tcPr>
            <w:tcW w:w="1260" w:type="dxa"/>
            <w:vMerge/>
          </w:tcPr>
          <w:p w14:paraId="2A60AA7D" w14:textId="77777777" w:rsidR="00C92E14" w:rsidRPr="00937662" w:rsidRDefault="00C92E14" w:rsidP="00C92E14"/>
        </w:tc>
        <w:tc>
          <w:tcPr>
            <w:tcW w:w="2610" w:type="dxa"/>
          </w:tcPr>
          <w:p w14:paraId="5979573F" w14:textId="77777777" w:rsidR="00C92E14" w:rsidRPr="00937662" w:rsidRDefault="00C92E14" w:rsidP="00C92E14">
            <w:r w:rsidRPr="00937662">
              <w:t>A ndikon opsioni në financimin e organizatave kulturore?</w:t>
            </w:r>
          </w:p>
        </w:tc>
        <w:tc>
          <w:tcPr>
            <w:tcW w:w="810" w:type="dxa"/>
          </w:tcPr>
          <w:p w14:paraId="1F1503ED" w14:textId="77777777" w:rsidR="00C92E14" w:rsidRPr="00937662" w:rsidRDefault="00C92E14" w:rsidP="00C92E14"/>
        </w:tc>
        <w:tc>
          <w:tcPr>
            <w:tcW w:w="810" w:type="dxa"/>
          </w:tcPr>
          <w:p w14:paraId="04444E21" w14:textId="3964149D" w:rsidR="00C92E14" w:rsidRPr="00937662" w:rsidRDefault="00C92E14" w:rsidP="00C92E14"/>
        </w:tc>
        <w:tc>
          <w:tcPr>
            <w:tcW w:w="1440" w:type="dxa"/>
          </w:tcPr>
          <w:p w14:paraId="4B75EFDA" w14:textId="77777777" w:rsidR="00C92E14" w:rsidRPr="00937662" w:rsidRDefault="00C92E14" w:rsidP="00C92E14"/>
        </w:tc>
        <w:tc>
          <w:tcPr>
            <w:tcW w:w="1260" w:type="dxa"/>
          </w:tcPr>
          <w:p w14:paraId="067F49F4" w14:textId="77777777" w:rsidR="00C92E14" w:rsidRPr="00937662" w:rsidRDefault="00C92E14" w:rsidP="00C92E14"/>
        </w:tc>
        <w:tc>
          <w:tcPr>
            <w:tcW w:w="1980" w:type="dxa"/>
          </w:tcPr>
          <w:p w14:paraId="5C44BB41" w14:textId="77777777" w:rsidR="00C92E14" w:rsidRPr="00937662" w:rsidRDefault="00C92E14" w:rsidP="00C92E14"/>
        </w:tc>
      </w:tr>
      <w:tr w:rsidR="00C92E14" w:rsidRPr="00937662" w14:paraId="44F3DAA8" w14:textId="77777777" w:rsidTr="003E4E3B">
        <w:tc>
          <w:tcPr>
            <w:tcW w:w="1260" w:type="dxa"/>
            <w:vMerge/>
          </w:tcPr>
          <w:p w14:paraId="02D115A9" w14:textId="77777777" w:rsidR="00C92E14" w:rsidRPr="00937662" w:rsidRDefault="00C92E14" w:rsidP="00C92E14"/>
        </w:tc>
        <w:tc>
          <w:tcPr>
            <w:tcW w:w="2610" w:type="dxa"/>
          </w:tcPr>
          <w:p w14:paraId="2A38A3AD" w14:textId="77777777" w:rsidR="00C92E14" w:rsidRPr="00937662" w:rsidRDefault="00C92E14" w:rsidP="00C92E14">
            <w:r w:rsidRPr="00937662">
              <w:t>A preken mundësinë për personat me aftësi të kufizuara të marrin pjesë apo të përfitojnë nga aktivitetet kulturore?</w:t>
            </w:r>
          </w:p>
        </w:tc>
        <w:tc>
          <w:tcPr>
            <w:tcW w:w="810" w:type="dxa"/>
          </w:tcPr>
          <w:p w14:paraId="59EBEEED" w14:textId="77777777" w:rsidR="00C92E14" w:rsidRPr="00937662" w:rsidRDefault="00C92E14" w:rsidP="00C92E14"/>
        </w:tc>
        <w:tc>
          <w:tcPr>
            <w:tcW w:w="810" w:type="dxa"/>
          </w:tcPr>
          <w:p w14:paraId="4B39EB17" w14:textId="4F77924B" w:rsidR="00C92E14" w:rsidRPr="00937662" w:rsidRDefault="00C92E14" w:rsidP="00C92E14"/>
        </w:tc>
        <w:tc>
          <w:tcPr>
            <w:tcW w:w="1440" w:type="dxa"/>
          </w:tcPr>
          <w:p w14:paraId="07FCA7E7" w14:textId="77777777" w:rsidR="00C92E14" w:rsidRPr="00937662" w:rsidRDefault="00C92E14" w:rsidP="00C92E14"/>
        </w:tc>
        <w:tc>
          <w:tcPr>
            <w:tcW w:w="1260" w:type="dxa"/>
          </w:tcPr>
          <w:p w14:paraId="02C1F488" w14:textId="77777777" w:rsidR="00C92E14" w:rsidRPr="00937662" w:rsidRDefault="00C92E14" w:rsidP="00C92E14"/>
        </w:tc>
        <w:tc>
          <w:tcPr>
            <w:tcW w:w="1980" w:type="dxa"/>
          </w:tcPr>
          <w:p w14:paraId="65CEADF1" w14:textId="77777777" w:rsidR="00C92E14" w:rsidRPr="00937662" w:rsidRDefault="00C92E14" w:rsidP="00C92E14"/>
        </w:tc>
      </w:tr>
      <w:tr w:rsidR="00C92E14" w:rsidRPr="00937662" w14:paraId="1F7F6CE2" w14:textId="77777777" w:rsidTr="003E4E3B">
        <w:tc>
          <w:tcPr>
            <w:tcW w:w="1260" w:type="dxa"/>
            <w:vMerge/>
          </w:tcPr>
          <w:p w14:paraId="5A184349" w14:textId="77777777" w:rsidR="00C92E14" w:rsidRPr="00937662" w:rsidRDefault="00C92E14" w:rsidP="00C92E14"/>
        </w:tc>
        <w:tc>
          <w:tcPr>
            <w:tcW w:w="2610" w:type="dxa"/>
          </w:tcPr>
          <w:p w14:paraId="6FDA22B4" w14:textId="77777777" w:rsidR="00C92E14" w:rsidRPr="00937662" w:rsidRDefault="00C92E14" w:rsidP="00C92E14">
            <w:r w:rsidRPr="00937662">
              <w:t>A ndikon opsioni në ruajtjen e trashëgimisë kulturore?</w:t>
            </w:r>
          </w:p>
        </w:tc>
        <w:tc>
          <w:tcPr>
            <w:tcW w:w="810" w:type="dxa"/>
          </w:tcPr>
          <w:p w14:paraId="1E7255C5" w14:textId="77777777" w:rsidR="00C92E14" w:rsidRPr="00937662" w:rsidRDefault="00C92E14" w:rsidP="00C92E14"/>
        </w:tc>
        <w:tc>
          <w:tcPr>
            <w:tcW w:w="810" w:type="dxa"/>
          </w:tcPr>
          <w:p w14:paraId="23511C24" w14:textId="3934171F" w:rsidR="00C92E14" w:rsidRPr="00937662" w:rsidRDefault="00C92E14" w:rsidP="00C92E14"/>
        </w:tc>
        <w:tc>
          <w:tcPr>
            <w:tcW w:w="1440" w:type="dxa"/>
          </w:tcPr>
          <w:p w14:paraId="79B1660B" w14:textId="77777777" w:rsidR="00C92E14" w:rsidRPr="00937662" w:rsidRDefault="00C92E14" w:rsidP="00C92E14"/>
        </w:tc>
        <w:tc>
          <w:tcPr>
            <w:tcW w:w="1260" w:type="dxa"/>
          </w:tcPr>
          <w:p w14:paraId="25A4B373" w14:textId="77777777" w:rsidR="00C92E14" w:rsidRPr="00937662" w:rsidRDefault="00C92E14" w:rsidP="00C92E14"/>
        </w:tc>
        <w:tc>
          <w:tcPr>
            <w:tcW w:w="1980" w:type="dxa"/>
          </w:tcPr>
          <w:p w14:paraId="3A851B91" w14:textId="77777777" w:rsidR="00C92E14" w:rsidRPr="00937662" w:rsidRDefault="00C92E14" w:rsidP="00C92E14"/>
        </w:tc>
      </w:tr>
      <w:tr w:rsidR="00C92E14" w:rsidRPr="00937662" w14:paraId="442C74FB" w14:textId="77777777" w:rsidTr="003E4E3B">
        <w:tc>
          <w:tcPr>
            <w:tcW w:w="1260" w:type="dxa"/>
            <w:vMerge w:val="restart"/>
          </w:tcPr>
          <w:p w14:paraId="7680E075" w14:textId="77777777" w:rsidR="00C92E14" w:rsidRPr="00937662" w:rsidRDefault="00C92E14" w:rsidP="00C92E14">
            <w:r w:rsidRPr="00937662">
              <w:t>Qeverisja</w:t>
            </w:r>
          </w:p>
        </w:tc>
        <w:tc>
          <w:tcPr>
            <w:tcW w:w="2610" w:type="dxa"/>
          </w:tcPr>
          <w:p w14:paraId="492FD7D9" w14:textId="77777777" w:rsidR="00C92E14" w:rsidRPr="00937662" w:rsidRDefault="00C92E14" w:rsidP="00C92E14">
            <w:r w:rsidRPr="00937662">
              <w:t>A ndikon opsioni në aftësinë e qytetarëve për të marrë pjesë në procesin demokratik?</w:t>
            </w:r>
          </w:p>
        </w:tc>
        <w:tc>
          <w:tcPr>
            <w:tcW w:w="810" w:type="dxa"/>
          </w:tcPr>
          <w:p w14:paraId="4B7876AC" w14:textId="77777777" w:rsidR="00C92E14" w:rsidRPr="00937662" w:rsidRDefault="00C92E14" w:rsidP="00C92E14"/>
        </w:tc>
        <w:tc>
          <w:tcPr>
            <w:tcW w:w="810" w:type="dxa"/>
          </w:tcPr>
          <w:p w14:paraId="676D9254" w14:textId="1E67CBDE" w:rsidR="00C92E14" w:rsidRPr="00937662" w:rsidRDefault="00C92E14" w:rsidP="00C92E14"/>
        </w:tc>
        <w:tc>
          <w:tcPr>
            <w:tcW w:w="1440" w:type="dxa"/>
          </w:tcPr>
          <w:p w14:paraId="7193854B" w14:textId="77777777" w:rsidR="00C92E14" w:rsidRPr="00937662" w:rsidRDefault="00C92E14" w:rsidP="00C92E14"/>
        </w:tc>
        <w:tc>
          <w:tcPr>
            <w:tcW w:w="1260" w:type="dxa"/>
          </w:tcPr>
          <w:p w14:paraId="436D73D9" w14:textId="77777777" w:rsidR="00C92E14" w:rsidRPr="00937662" w:rsidRDefault="00C92E14" w:rsidP="00C92E14"/>
        </w:tc>
        <w:tc>
          <w:tcPr>
            <w:tcW w:w="1980" w:type="dxa"/>
          </w:tcPr>
          <w:p w14:paraId="5902315C" w14:textId="77777777" w:rsidR="00C92E14" w:rsidRPr="00937662" w:rsidRDefault="00C92E14" w:rsidP="00C92E14"/>
        </w:tc>
      </w:tr>
      <w:tr w:rsidR="00C92E14" w:rsidRPr="00937662" w14:paraId="6FDD73E6" w14:textId="77777777" w:rsidTr="003E4E3B">
        <w:tc>
          <w:tcPr>
            <w:tcW w:w="1260" w:type="dxa"/>
            <w:vMerge/>
          </w:tcPr>
          <w:p w14:paraId="7890A3DC" w14:textId="77777777" w:rsidR="00C92E14" w:rsidRPr="00937662" w:rsidRDefault="00C92E14" w:rsidP="00C92E14"/>
        </w:tc>
        <w:tc>
          <w:tcPr>
            <w:tcW w:w="2610" w:type="dxa"/>
          </w:tcPr>
          <w:p w14:paraId="5FEB3797" w14:textId="77777777" w:rsidR="00C92E14" w:rsidRPr="00937662" w:rsidRDefault="00C92E14" w:rsidP="00C92E14">
            <w:r w:rsidRPr="00937662">
              <w:t>A trajtohet çdo person në mënyrë të barabartë?</w:t>
            </w:r>
          </w:p>
        </w:tc>
        <w:tc>
          <w:tcPr>
            <w:tcW w:w="810" w:type="dxa"/>
          </w:tcPr>
          <w:p w14:paraId="5DC081AE" w14:textId="77777777" w:rsidR="00C92E14" w:rsidRPr="00937662" w:rsidRDefault="00C92E14" w:rsidP="00C92E14">
            <w:r w:rsidRPr="00937662">
              <w:t>x</w:t>
            </w:r>
          </w:p>
        </w:tc>
        <w:tc>
          <w:tcPr>
            <w:tcW w:w="810" w:type="dxa"/>
          </w:tcPr>
          <w:p w14:paraId="3D3BEAA5" w14:textId="77777777" w:rsidR="00C92E14" w:rsidRPr="00937662" w:rsidRDefault="00C92E14" w:rsidP="00C92E14"/>
        </w:tc>
        <w:tc>
          <w:tcPr>
            <w:tcW w:w="1440" w:type="dxa"/>
          </w:tcPr>
          <w:p w14:paraId="3EA58E23" w14:textId="77777777" w:rsidR="00C92E14" w:rsidRPr="00937662" w:rsidRDefault="00C92E14" w:rsidP="00C92E14">
            <w:r w:rsidRPr="00937662">
              <w:t>H</w:t>
            </w:r>
          </w:p>
        </w:tc>
        <w:tc>
          <w:tcPr>
            <w:tcW w:w="1260" w:type="dxa"/>
          </w:tcPr>
          <w:p w14:paraId="704AB884" w14:textId="77777777" w:rsidR="00C92E14" w:rsidRPr="00937662" w:rsidRDefault="00C92E14" w:rsidP="00C92E14">
            <w:r w:rsidRPr="00937662">
              <w:t>L</w:t>
            </w:r>
          </w:p>
        </w:tc>
        <w:tc>
          <w:tcPr>
            <w:tcW w:w="1980" w:type="dxa"/>
          </w:tcPr>
          <w:p w14:paraId="7D959E0E" w14:textId="77777777" w:rsidR="00C92E14" w:rsidRPr="00937662" w:rsidRDefault="00C92E14" w:rsidP="00C92E14">
            <w:r w:rsidRPr="00937662">
              <w:t>L</w:t>
            </w:r>
          </w:p>
        </w:tc>
      </w:tr>
      <w:tr w:rsidR="00C92E14" w:rsidRPr="00937662" w14:paraId="34C08DFA" w14:textId="77777777" w:rsidTr="003E4E3B">
        <w:tc>
          <w:tcPr>
            <w:tcW w:w="1260" w:type="dxa"/>
            <w:vMerge/>
          </w:tcPr>
          <w:p w14:paraId="1DB41F4A" w14:textId="77777777" w:rsidR="00C92E14" w:rsidRPr="00937662" w:rsidRDefault="00C92E14" w:rsidP="00C92E14"/>
        </w:tc>
        <w:tc>
          <w:tcPr>
            <w:tcW w:w="2610" w:type="dxa"/>
          </w:tcPr>
          <w:p w14:paraId="2221208B" w14:textId="77777777" w:rsidR="00C92E14" w:rsidRPr="00937662" w:rsidRDefault="00C92E14" w:rsidP="00C92E14">
            <w:r w:rsidRPr="00937662">
              <w:t>A do të informohet publiku më mirë për çështje të caktuara?</w:t>
            </w:r>
          </w:p>
        </w:tc>
        <w:tc>
          <w:tcPr>
            <w:tcW w:w="810" w:type="dxa"/>
          </w:tcPr>
          <w:p w14:paraId="6BEA32FC" w14:textId="77777777" w:rsidR="00C92E14" w:rsidRPr="00937662" w:rsidRDefault="00C92E14" w:rsidP="00C92E14">
            <w:r w:rsidRPr="00937662">
              <w:t>x</w:t>
            </w:r>
          </w:p>
        </w:tc>
        <w:tc>
          <w:tcPr>
            <w:tcW w:w="810" w:type="dxa"/>
          </w:tcPr>
          <w:p w14:paraId="12B2DA1F" w14:textId="77777777" w:rsidR="00C92E14" w:rsidRPr="00937662" w:rsidRDefault="00C92E14" w:rsidP="00C92E14"/>
        </w:tc>
        <w:tc>
          <w:tcPr>
            <w:tcW w:w="1440" w:type="dxa"/>
          </w:tcPr>
          <w:p w14:paraId="72669261" w14:textId="77777777" w:rsidR="00C92E14" w:rsidRPr="00937662" w:rsidRDefault="00C92E14" w:rsidP="00C92E14">
            <w:r w:rsidRPr="00937662">
              <w:t>H</w:t>
            </w:r>
          </w:p>
        </w:tc>
        <w:tc>
          <w:tcPr>
            <w:tcW w:w="1260" w:type="dxa"/>
          </w:tcPr>
          <w:p w14:paraId="640A7924" w14:textId="77777777" w:rsidR="00C92E14" w:rsidRPr="00937662" w:rsidRDefault="00C92E14" w:rsidP="00C92E14">
            <w:r w:rsidRPr="00937662">
              <w:t>L</w:t>
            </w:r>
          </w:p>
        </w:tc>
        <w:tc>
          <w:tcPr>
            <w:tcW w:w="1980" w:type="dxa"/>
          </w:tcPr>
          <w:p w14:paraId="00D6351F" w14:textId="77777777" w:rsidR="00C92E14" w:rsidRPr="00937662" w:rsidRDefault="00C92E14" w:rsidP="00C92E14">
            <w:r w:rsidRPr="00937662">
              <w:t>H</w:t>
            </w:r>
          </w:p>
        </w:tc>
      </w:tr>
      <w:tr w:rsidR="00C92E14" w:rsidRPr="00937662" w14:paraId="2A5D1449" w14:textId="77777777" w:rsidTr="003E4E3B">
        <w:tc>
          <w:tcPr>
            <w:tcW w:w="1260" w:type="dxa"/>
            <w:vMerge/>
          </w:tcPr>
          <w:p w14:paraId="5A136DA3" w14:textId="77777777" w:rsidR="00C92E14" w:rsidRPr="00937662" w:rsidRDefault="00C92E14" w:rsidP="00C92E14"/>
        </w:tc>
        <w:tc>
          <w:tcPr>
            <w:tcW w:w="2610" w:type="dxa"/>
          </w:tcPr>
          <w:p w14:paraId="3661E5F0" w14:textId="77777777" w:rsidR="00C92E14" w:rsidRPr="00937662" w:rsidRDefault="00C92E14" w:rsidP="00C92E14">
            <w:r w:rsidRPr="00937662">
              <w:t>A ndikon opsioni në mënyrën e funksionimit të partive politike?</w:t>
            </w:r>
          </w:p>
        </w:tc>
        <w:tc>
          <w:tcPr>
            <w:tcW w:w="810" w:type="dxa"/>
          </w:tcPr>
          <w:p w14:paraId="64BEF091" w14:textId="77777777" w:rsidR="00C92E14" w:rsidRPr="00937662" w:rsidRDefault="00C92E14" w:rsidP="00C92E14"/>
        </w:tc>
        <w:tc>
          <w:tcPr>
            <w:tcW w:w="810" w:type="dxa"/>
          </w:tcPr>
          <w:p w14:paraId="0C1FD65A" w14:textId="77777777" w:rsidR="00C92E14" w:rsidRPr="00937662" w:rsidRDefault="00C92E14" w:rsidP="00C92E14">
            <w:r w:rsidRPr="00937662">
              <w:t>x</w:t>
            </w:r>
          </w:p>
        </w:tc>
        <w:tc>
          <w:tcPr>
            <w:tcW w:w="1440" w:type="dxa"/>
          </w:tcPr>
          <w:p w14:paraId="3C6EEED9" w14:textId="77777777" w:rsidR="00C92E14" w:rsidRPr="00937662" w:rsidRDefault="00C92E14" w:rsidP="00C92E14"/>
        </w:tc>
        <w:tc>
          <w:tcPr>
            <w:tcW w:w="1260" w:type="dxa"/>
          </w:tcPr>
          <w:p w14:paraId="06CDBE7F" w14:textId="77777777" w:rsidR="00C92E14" w:rsidRPr="00937662" w:rsidRDefault="00C92E14" w:rsidP="00C92E14"/>
        </w:tc>
        <w:tc>
          <w:tcPr>
            <w:tcW w:w="1980" w:type="dxa"/>
          </w:tcPr>
          <w:p w14:paraId="1E11C270" w14:textId="77777777" w:rsidR="00C92E14" w:rsidRPr="00937662" w:rsidRDefault="00C92E14" w:rsidP="00C92E14"/>
        </w:tc>
      </w:tr>
      <w:tr w:rsidR="00C92E14" w:rsidRPr="00937662" w14:paraId="6EAFDFB6" w14:textId="77777777" w:rsidTr="003E4E3B">
        <w:tc>
          <w:tcPr>
            <w:tcW w:w="1260" w:type="dxa"/>
            <w:vMerge/>
          </w:tcPr>
          <w:p w14:paraId="4FE006F1" w14:textId="77777777" w:rsidR="00C92E14" w:rsidRPr="00937662" w:rsidRDefault="00C92E14" w:rsidP="00C92E14"/>
        </w:tc>
        <w:tc>
          <w:tcPr>
            <w:tcW w:w="2610" w:type="dxa"/>
          </w:tcPr>
          <w:p w14:paraId="60771DE5" w14:textId="77777777" w:rsidR="00C92E14" w:rsidRPr="00937662" w:rsidRDefault="00C92E14" w:rsidP="00C92E14">
            <w:r w:rsidRPr="00937662">
              <w:t>A do të ketë ndikim në shoqërinë civile?</w:t>
            </w:r>
          </w:p>
        </w:tc>
        <w:tc>
          <w:tcPr>
            <w:tcW w:w="810" w:type="dxa"/>
          </w:tcPr>
          <w:p w14:paraId="54C2CBEE" w14:textId="77777777" w:rsidR="00C92E14" w:rsidRPr="00937662" w:rsidRDefault="00C92E14" w:rsidP="00C92E14"/>
        </w:tc>
        <w:tc>
          <w:tcPr>
            <w:tcW w:w="810" w:type="dxa"/>
          </w:tcPr>
          <w:p w14:paraId="50165F53" w14:textId="77777777" w:rsidR="00C92E14" w:rsidRPr="00937662" w:rsidRDefault="00C92E14" w:rsidP="00C92E14">
            <w:r w:rsidRPr="00937662">
              <w:t>x</w:t>
            </w:r>
          </w:p>
        </w:tc>
        <w:tc>
          <w:tcPr>
            <w:tcW w:w="1440" w:type="dxa"/>
          </w:tcPr>
          <w:p w14:paraId="0553C248" w14:textId="77777777" w:rsidR="00C92E14" w:rsidRPr="00937662" w:rsidRDefault="00C92E14" w:rsidP="00C92E14"/>
        </w:tc>
        <w:tc>
          <w:tcPr>
            <w:tcW w:w="1260" w:type="dxa"/>
          </w:tcPr>
          <w:p w14:paraId="7950F070" w14:textId="77777777" w:rsidR="00C92E14" w:rsidRPr="00937662" w:rsidRDefault="00C92E14" w:rsidP="00C92E14"/>
        </w:tc>
        <w:tc>
          <w:tcPr>
            <w:tcW w:w="1980" w:type="dxa"/>
          </w:tcPr>
          <w:p w14:paraId="3124DFF1" w14:textId="77777777" w:rsidR="00C92E14" w:rsidRPr="00937662" w:rsidRDefault="00C92E14" w:rsidP="00C92E14"/>
        </w:tc>
      </w:tr>
      <w:tr w:rsidR="00C92E14" w:rsidRPr="00937662" w14:paraId="12BE30A7" w14:textId="77777777" w:rsidTr="003E4E3B">
        <w:tc>
          <w:tcPr>
            <w:tcW w:w="1260" w:type="dxa"/>
            <w:vMerge w:val="restart"/>
          </w:tcPr>
          <w:p w14:paraId="6C264E0A" w14:textId="77777777" w:rsidR="00C92E14" w:rsidRPr="00937662" w:rsidRDefault="00C92E14" w:rsidP="00C92E14">
            <w:r w:rsidRPr="00937662">
              <w:t>Shëndeti dhe siguria publike</w:t>
            </w:r>
          </w:p>
        </w:tc>
        <w:tc>
          <w:tcPr>
            <w:tcW w:w="2610" w:type="dxa"/>
          </w:tcPr>
          <w:p w14:paraId="148CB877" w14:textId="77777777" w:rsidR="00C92E14" w:rsidRPr="00937662" w:rsidRDefault="00C92E14" w:rsidP="00C92E14">
            <w:r w:rsidRPr="00937662">
              <w:t>A do të ketë ndonjë ndikim në jetën e njerëzve, siç janë jetëgjatësia apo norma e vdekshmërisë?</w:t>
            </w:r>
          </w:p>
        </w:tc>
        <w:tc>
          <w:tcPr>
            <w:tcW w:w="810" w:type="dxa"/>
          </w:tcPr>
          <w:p w14:paraId="758D772F" w14:textId="77777777" w:rsidR="00C92E14" w:rsidRPr="00937662" w:rsidRDefault="00C92E14" w:rsidP="00C92E14"/>
        </w:tc>
        <w:tc>
          <w:tcPr>
            <w:tcW w:w="810" w:type="dxa"/>
          </w:tcPr>
          <w:p w14:paraId="4F222AA1" w14:textId="77777777" w:rsidR="00C92E14" w:rsidRPr="00937662" w:rsidRDefault="00C92E14" w:rsidP="00C92E14">
            <w:r w:rsidRPr="00937662">
              <w:t>x</w:t>
            </w:r>
          </w:p>
        </w:tc>
        <w:tc>
          <w:tcPr>
            <w:tcW w:w="1440" w:type="dxa"/>
          </w:tcPr>
          <w:p w14:paraId="6CCA3355" w14:textId="77777777" w:rsidR="00C92E14" w:rsidRPr="00937662" w:rsidRDefault="00C92E14" w:rsidP="00C92E14"/>
        </w:tc>
        <w:tc>
          <w:tcPr>
            <w:tcW w:w="1260" w:type="dxa"/>
          </w:tcPr>
          <w:p w14:paraId="242043B5" w14:textId="77777777" w:rsidR="00C92E14" w:rsidRPr="00937662" w:rsidRDefault="00C92E14" w:rsidP="00C92E14"/>
        </w:tc>
        <w:tc>
          <w:tcPr>
            <w:tcW w:w="1980" w:type="dxa"/>
          </w:tcPr>
          <w:p w14:paraId="04D24C1A" w14:textId="77777777" w:rsidR="00C92E14" w:rsidRPr="00937662" w:rsidRDefault="00C92E14" w:rsidP="00C92E14"/>
        </w:tc>
      </w:tr>
      <w:tr w:rsidR="00C92E14" w:rsidRPr="00937662" w14:paraId="41AE025F" w14:textId="77777777" w:rsidTr="003E4E3B">
        <w:tc>
          <w:tcPr>
            <w:tcW w:w="1260" w:type="dxa"/>
            <w:vMerge/>
          </w:tcPr>
          <w:p w14:paraId="255D3AC8" w14:textId="77777777" w:rsidR="00C92E14" w:rsidRPr="00937662" w:rsidRDefault="00C92E14" w:rsidP="00C92E14"/>
        </w:tc>
        <w:tc>
          <w:tcPr>
            <w:tcW w:w="2610" w:type="dxa"/>
          </w:tcPr>
          <w:p w14:paraId="04A4C268" w14:textId="77777777" w:rsidR="00C92E14" w:rsidRPr="00937662" w:rsidRDefault="00C92E14" w:rsidP="00C92E14">
            <w:r w:rsidRPr="00937662">
              <w:t>A do të ndikojë në cilësinë e ushqimit?</w:t>
            </w:r>
          </w:p>
        </w:tc>
        <w:tc>
          <w:tcPr>
            <w:tcW w:w="810" w:type="dxa"/>
          </w:tcPr>
          <w:p w14:paraId="3FC2C8A7" w14:textId="77777777" w:rsidR="00C92E14" w:rsidRPr="00937662" w:rsidRDefault="00C92E14" w:rsidP="00C92E14"/>
        </w:tc>
        <w:tc>
          <w:tcPr>
            <w:tcW w:w="810" w:type="dxa"/>
          </w:tcPr>
          <w:p w14:paraId="2E988357" w14:textId="77777777" w:rsidR="00C92E14" w:rsidRPr="00937662" w:rsidRDefault="00C92E14" w:rsidP="00C92E14">
            <w:r w:rsidRPr="00937662">
              <w:t>x</w:t>
            </w:r>
          </w:p>
        </w:tc>
        <w:tc>
          <w:tcPr>
            <w:tcW w:w="1440" w:type="dxa"/>
          </w:tcPr>
          <w:p w14:paraId="2BF35DD3" w14:textId="77777777" w:rsidR="00C92E14" w:rsidRPr="00937662" w:rsidRDefault="00C92E14" w:rsidP="00C92E14"/>
        </w:tc>
        <w:tc>
          <w:tcPr>
            <w:tcW w:w="1260" w:type="dxa"/>
          </w:tcPr>
          <w:p w14:paraId="32632A7D" w14:textId="77777777" w:rsidR="00C92E14" w:rsidRPr="00937662" w:rsidRDefault="00C92E14" w:rsidP="00C92E14"/>
        </w:tc>
        <w:tc>
          <w:tcPr>
            <w:tcW w:w="1980" w:type="dxa"/>
          </w:tcPr>
          <w:p w14:paraId="2161D827" w14:textId="77777777" w:rsidR="00C92E14" w:rsidRPr="00937662" w:rsidRDefault="00C92E14" w:rsidP="00C92E14"/>
        </w:tc>
      </w:tr>
      <w:tr w:rsidR="00C92E14" w:rsidRPr="00937662" w14:paraId="19E4C312" w14:textId="77777777" w:rsidTr="003E4E3B">
        <w:tc>
          <w:tcPr>
            <w:tcW w:w="1260" w:type="dxa"/>
            <w:vMerge/>
          </w:tcPr>
          <w:p w14:paraId="4B9DC4D0" w14:textId="77777777" w:rsidR="00C92E14" w:rsidRPr="00937662" w:rsidRDefault="00C92E14" w:rsidP="00C92E14"/>
        </w:tc>
        <w:tc>
          <w:tcPr>
            <w:tcW w:w="2610" w:type="dxa"/>
          </w:tcPr>
          <w:p w14:paraId="7E943248" w14:textId="77777777" w:rsidR="00C92E14" w:rsidRPr="00937662" w:rsidRDefault="00C92E14" w:rsidP="00C92E14">
            <w:r w:rsidRPr="00937662">
              <w:t>A do të rritet ose zvogëlohet rreziku shëndetësor për shkak të substancave të dëmshme? (zvogëlohet)</w:t>
            </w:r>
          </w:p>
        </w:tc>
        <w:tc>
          <w:tcPr>
            <w:tcW w:w="810" w:type="dxa"/>
          </w:tcPr>
          <w:p w14:paraId="1659E261" w14:textId="6A0B3E51" w:rsidR="00C92E14" w:rsidRPr="00937662" w:rsidRDefault="00C92E14" w:rsidP="00C92E14"/>
        </w:tc>
        <w:tc>
          <w:tcPr>
            <w:tcW w:w="810" w:type="dxa"/>
          </w:tcPr>
          <w:p w14:paraId="114E5E36" w14:textId="0650EFC6" w:rsidR="00C92E14" w:rsidRPr="00937662" w:rsidRDefault="00282F2D" w:rsidP="00C92E14">
            <w:r>
              <w:t>x</w:t>
            </w:r>
          </w:p>
          <w:p w14:paraId="0680EF39" w14:textId="77777777" w:rsidR="00C92E14" w:rsidRPr="00937662" w:rsidRDefault="00C92E14" w:rsidP="00C92E14"/>
        </w:tc>
        <w:tc>
          <w:tcPr>
            <w:tcW w:w="1440" w:type="dxa"/>
          </w:tcPr>
          <w:p w14:paraId="1B661AA0" w14:textId="77777777" w:rsidR="00C92E14" w:rsidRPr="00937662" w:rsidRDefault="00C92E14" w:rsidP="00C92E14">
            <w:r w:rsidRPr="00937662">
              <w:t>E lartë</w:t>
            </w:r>
          </w:p>
        </w:tc>
        <w:tc>
          <w:tcPr>
            <w:tcW w:w="1260" w:type="dxa"/>
          </w:tcPr>
          <w:p w14:paraId="37183974" w14:textId="77777777" w:rsidR="00C92E14" w:rsidRPr="00937662" w:rsidRDefault="00C92E14" w:rsidP="00C92E14">
            <w:r w:rsidRPr="00937662">
              <w:t>E ulët</w:t>
            </w:r>
          </w:p>
        </w:tc>
        <w:tc>
          <w:tcPr>
            <w:tcW w:w="1980" w:type="dxa"/>
          </w:tcPr>
          <w:p w14:paraId="3760DC00" w14:textId="77777777" w:rsidR="00C92E14" w:rsidRPr="00937662" w:rsidRDefault="00C92E14" w:rsidP="00C92E14"/>
        </w:tc>
      </w:tr>
      <w:tr w:rsidR="00C92E14" w:rsidRPr="00937662" w14:paraId="0FCE195D" w14:textId="77777777" w:rsidTr="003E4E3B">
        <w:tc>
          <w:tcPr>
            <w:tcW w:w="1260" w:type="dxa"/>
            <w:vMerge/>
          </w:tcPr>
          <w:p w14:paraId="781C3F8F" w14:textId="77777777" w:rsidR="00C92E14" w:rsidRPr="00937662" w:rsidRDefault="00C92E14" w:rsidP="00C92E14"/>
        </w:tc>
        <w:tc>
          <w:tcPr>
            <w:tcW w:w="2610" w:type="dxa"/>
          </w:tcPr>
          <w:p w14:paraId="6EBF4FBA" w14:textId="77777777" w:rsidR="00C92E14" w:rsidRPr="00937662" w:rsidRDefault="00C92E14" w:rsidP="00C92E14">
            <w:r w:rsidRPr="00937662">
              <w:t>A do të ketë efekte shëndetësore për shkak të ndryshimeve në nivelet e zhurmës ose cilësisë së ajrit, ujit dhe / ose tokës?</w:t>
            </w:r>
          </w:p>
        </w:tc>
        <w:tc>
          <w:tcPr>
            <w:tcW w:w="810" w:type="dxa"/>
          </w:tcPr>
          <w:p w14:paraId="3C62794C" w14:textId="1FE447E0" w:rsidR="00C92E14" w:rsidRPr="00937662" w:rsidRDefault="00C92E14" w:rsidP="00C92E14"/>
        </w:tc>
        <w:tc>
          <w:tcPr>
            <w:tcW w:w="810" w:type="dxa"/>
          </w:tcPr>
          <w:p w14:paraId="28D433A6" w14:textId="4C629CE4" w:rsidR="00C92E14" w:rsidRPr="00937662" w:rsidRDefault="00282F2D" w:rsidP="00C92E14">
            <w:r>
              <w:t>x</w:t>
            </w:r>
          </w:p>
        </w:tc>
        <w:tc>
          <w:tcPr>
            <w:tcW w:w="1440" w:type="dxa"/>
          </w:tcPr>
          <w:p w14:paraId="6FCE3561" w14:textId="77777777" w:rsidR="00C92E14" w:rsidRPr="00937662" w:rsidRDefault="00C92E14" w:rsidP="00C92E14">
            <w:r w:rsidRPr="00937662">
              <w:t>E lartë</w:t>
            </w:r>
          </w:p>
        </w:tc>
        <w:tc>
          <w:tcPr>
            <w:tcW w:w="1260" w:type="dxa"/>
          </w:tcPr>
          <w:p w14:paraId="54E2AE6B" w14:textId="77777777" w:rsidR="00C92E14" w:rsidRPr="00937662" w:rsidRDefault="00C92E14" w:rsidP="00C92E14">
            <w:r w:rsidRPr="00937662">
              <w:t>E ulët</w:t>
            </w:r>
          </w:p>
        </w:tc>
        <w:tc>
          <w:tcPr>
            <w:tcW w:w="1980" w:type="dxa"/>
          </w:tcPr>
          <w:p w14:paraId="174A132B" w14:textId="77777777" w:rsidR="00C92E14" w:rsidRPr="00937662" w:rsidRDefault="00C92E14" w:rsidP="00C92E14"/>
        </w:tc>
      </w:tr>
      <w:tr w:rsidR="00C92E14" w:rsidRPr="00937662" w14:paraId="4BD44A11" w14:textId="77777777" w:rsidTr="003E4E3B">
        <w:tc>
          <w:tcPr>
            <w:tcW w:w="1260" w:type="dxa"/>
            <w:vMerge/>
          </w:tcPr>
          <w:p w14:paraId="70AFB5DC" w14:textId="77777777" w:rsidR="00C92E14" w:rsidRPr="00937662" w:rsidRDefault="00C92E14" w:rsidP="00C92E14"/>
        </w:tc>
        <w:tc>
          <w:tcPr>
            <w:tcW w:w="2610" w:type="dxa"/>
          </w:tcPr>
          <w:p w14:paraId="1FE0B827" w14:textId="77777777" w:rsidR="00C92E14" w:rsidRPr="00937662" w:rsidRDefault="00C92E14" w:rsidP="00C92E14">
            <w:r w:rsidRPr="00937662">
              <w:t>A do të ketë efekte shëndetësore për shkak të ndryshimeve në përdorimin e energjisë?</w:t>
            </w:r>
          </w:p>
        </w:tc>
        <w:tc>
          <w:tcPr>
            <w:tcW w:w="810" w:type="dxa"/>
          </w:tcPr>
          <w:p w14:paraId="0B057422" w14:textId="101136DB" w:rsidR="00C92E14" w:rsidRPr="00937662" w:rsidRDefault="00C92E14" w:rsidP="00C92E14"/>
        </w:tc>
        <w:tc>
          <w:tcPr>
            <w:tcW w:w="810" w:type="dxa"/>
          </w:tcPr>
          <w:p w14:paraId="6B44E629" w14:textId="64F46D47" w:rsidR="00C92E14" w:rsidRPr="00937662" w:rsidRDefault="00282F2D" w:rsidP="00C92E14">
            <w:r>
              <w:t>x</w:t>
            </w:r>
          </w:p>
        </w:tc>
        <w:tc>
          <w:tcPr>
            <w:tcW w:w="1440" w:type="dxa"/>
          </w:tcPr>
          <w:p w14:paraId="4D3E9A5F" w14:textId="77777777" w:rsidR="00C92E14" w:rsidRPr="00937662" w:rsidRDefault="00C92E14" w:rsidP="00C92E14">
            <w:r w:rsidRPr="00937662">
              <w:t>E lartë</w:t>
            </w:r>
          </w:p>
        </w:tc>
        <w:tc>
          <w:tcPr>
            <w:tcW w:w="1260" w:type="dxa"/>
          </w:tcPr>
          <w:p w14:paraId="75B50281" w14:textId="77777777" w:rsidR="00C92E14" w:rsidRPr="00937662" w:rsidRDefault="00C92E14" w:rsidP="00C92E14">
            <w:r w:rsidRPr="00937662">
              <w:t xml:space="preserve">E ulët </w:t>
            </w:r>
          </w:p>
        </w:tc>
        <w:tc>
          <w:tcPr>
            <w:tcW w:w="1980" w:type="dxa"/>
          </w:tcPr>
          <w:p w14:paraId="3C2E0075" w14:textId="77777777" w:rsidR="00C92E14" w:rsidRPr="00937662" w:rsidRDefault="00C92E14" w:rsidP="00C92E14"/>
        </w:tc>
      </w:tr>
      <w:tr w:rsidR="00C92E14" w:rsidRPr="00937662" w14:paraId="549C0745" w14:textId="77777777" w:rsidTr="003E4E3B">
        <w:tc>
          <w:tcPr>
            <w:tcW w:w="1260" w:type="dxa"/>
            <w:vMerge/>
          </w:tcPr>
          <w:p w14:paraId="2A2A458B" w14:textId="77777777" w:rsidR="00C92E14" w:rsidRPr="00937662" w:rsidRDefault="00C92E14" w:rsidP="00C92E14"/>
        </w:tc>
        <w:tc>
          <w:tcPr>
            <w:tcW w:w="2610" w:type="dxa"/>
          </w:tcPr>
          <w:p w14:paraId="32BAB765" w14:textId="77777777" w:rsidR="00C92E14" w:rsidRPr="00937662" w:rsidRDefault="00C92E14" w:rsidP="00C92E14">
            <w:r w:rsidRPr="00937662">
              <w:t>A do të ketë efekte shëndetësore për shkak të ndryshimeve në hedhjen e mbeturinave?</w:t>
            </w:r>
          </w:p>
        </w:tc>
        <w:tc>
          <w:tcPr>
            <w:tcW w:w="810" w:type="dxa"/>
          </w:tcPr>
          <w:p w14:paraId="401A659F" w14:textId="77777777" w:rsidR="00C92E14" w:rsidRPr="00937662" w:rsidRDefault="00C92E14" w:rsidP="00C92E14"/>
        </w:tc>
        <w:tc>
          <w:tcPr>
            <w:tcW w:w="810" w:type="dxa"/>
          </w:tcPr>
          <w:p w14:paraId="4FB96CFD" w14:textId="77777777" w:rsidR="00C92E14" w:rsidRPr="00937662" w:rsidRDefault="00C92E14" w:rsidP="00C92E14">
            <w:r w:rsidRPr="00937662">
              <w:t>x</w:t>
            </w:r>
          </w:p>
        </w:tc>
        <w:tc>
          <w:tcPr>
            <w:tcW w:w="1440" w:type="dxa"/>
          </w:tcPr>
          <w:p w14:paraId="1796F2CA" w14:textId="77777777" w:rsidR="00C92E14" w:rsidRPr="00937662" w:rsidRDefault="00C92E14" w:rsidP="00C92E14"/>
        </w:tc>
        <w:tc>
          <w:tcPr>
            <w:tcW w:w="1260" w:type="dxa"/>
          </w:tcPr>
          <w:p w14:paraId="14ECF0CC" w14:textId="77777777" w:rsidR="00C92E14" w:rsidRPr="00937662" w:rsidRDefault="00C92E14" w:rsidP="00C92E14"/>
        </w:tc>
        <w:tc>
          <w:tcPr>
            <w:tcW w:w="1980" w:type="dxa"/>
          </w:tcPr>
          <w:p w14:paraId="60DE8B8A" w14:textId="77777777" w:rsidR="00C92E14" w:rsidRPr="00937662" w:rsidRDefault="00C92E14" w:rsidP="00C92E14"/>
        </w:tc>
      </w:tr>
      <w:tr w:rsidR="00C92E14" w:rsidRPr="00937662" w14:paraId="35328DAC" w14:textId="77777777" w:rsidTr="003E4E3B">
        <w:tc>
          <w:tcPr>
            <w:tcW w:w="1260" w:type="dxa"/>
            <w:vMerge/>
          </w:tcPr>
          <w:p w14:paraId="00CFCF9E" w14:textId="77777777" w:rsidR="00C92E14" w:rsidRPr="00937662" w:rsidRDefault="00C92E14" w:rsidP="00C92E14"/>
        </w:tc>
        <w:tc>
          <w:tcPr>
            <w:tcW w:w="2610" w:type="dxa"/>
          </w:tcPr>
          <w:p w14:paraId="3F5C82F1" w14:textId="77777777" w:rsidR="00C92E14" w:rsidRPr="00937662" w:rsidRDefault="00C92E14" w:rsidP="00C92E14">
            <w:r w:rsidRPr="00937662">
              <w:t>A do të ketë një ndikim në mënyrën e jetesës së njerëzve, siç janë niveli i interesimi për sportet, ndryshimet ushqimore ose ndryshimet në përdorimin e duhanit ose alkoolit?</w:t>
            </w:r>
          </w:p>
        </w:tc>
        <w:tc>
          <w:tcPr>
            <w:tcW w:w="810" w:type="dxa"/>
          </w:tcPr>
          <w:p w14:paraId="5B182746" w14:textId="77777777" w:rsidR="00C92E14" w:rsidRPr="00937662" w:rsidRDefault="00C92E14" w:rsidP="00C92E14"/>
        </w:tc>
        <w:tc>
          <w:tcPr>
            <w:tcW w:w="810" w:type="dxa"/>
          </w:tcPr>
          <w:p w14:paraId="48A797EC" w14:textId="77777777" w:rsidR="00C92E14" w:rsidRPr="00937662" w:rsidRDefault="00C92E14" w:rsidP="00C92E14">
            <w:r w:rsidRPr="00937662">
              <w:t>x</w:t>
            </w:r>
          </w:p>
        </w:tc>
        <w:tc>
          <w:tcPr>
            <w:tcW w:w="1440" w:type="dxa"/>
          </w:tcPr>
          <w:p w14:paraId="607C1D5D" w14:textId="77777777" w:rsidR="00C92E14" w:rsidRPr="00937662" w:rsidRDefault="00C92E14" w:rsidP="00C92E14"/>
        </w:tc>
        <w:tc>
          <w:tcPr>
            <w:tcW w:w="1260" w:type="dxa"/>
          </w:tcPr>
          <w:p w14:paraId="147F5074" w14:textId="77777777" w:rsidR="00C92E14" w:rsidRPr="00937662" w:rsidRDefault="00C92E14" w:rsidP="00C92E14"/>
        </w:tc>
        <w:tc>
          <w:tcPr>
            <w:tcW w:w="1980" w:type="dxa"/>
          </w:tcPr>
          <w:p w14:paraId="733E398B" w14:textId="77777777" w:rsidR="00C92E14" w:rsidRPr="00937662" w:rsidRDefault="00C92E14" w:rsidP="00C92E14"/>
        </w:tc>
      </w:tr>
      <w:tr w:rsidR="00C92E14" w:rsidRPr="00937662" w14:paraId="3932A6AB" w14:textId="77777777" w:rsidTr="003E4E3B">
        <w:tc>
          <w:tcPr>
            <w:tcW w:w="1260" w:type="dxa"/>
            <w:vMerge/>
          </w:tcPr>
          <w:p w14:paraId="6F71C2D8" w14:textId="77777777" w:rsidR="00C92E14" w:rsidRPr="00937662" w:rsidRDefault="00C92E14" w:rsidP="00C92E14"/>
        </w:tc>
        <w:tc>
          <w:tcPr>
            <w:tcW w:w="2610" w:type="dxa"/>
          </w:tcPr>
          <w:p w14:paraId="7A4CBD9E" w14:textId="77777777" w:rsidR="00C92E14" w:rsidRPr="00937662" w:rsidRDefault="00C92E14" w:rsidP="00C92E14">
            <w:r w:rsidRPr="00937662">
              <w:t>A ka grupe specifike që përballen me rreziqe shumë më të larta se të tjerët (që përcaktohet nga faktorët siç janë mosha, gjinia, aftësia e kufizuar, grupi shoqëror ose rajoni)?</w:t>
            </w:r>
          </w:p>
        </w:tc>
        <w:tc>
          <w:tcPr>
            <w:tcW w:w="810" w:type="dxa"/>
          </w:tcPr>
          <w:p w14:paraId="6D135EFE" w14:textId="49E5F407" w:rsidR="00C92E14" w:rsidRPr="00937662" w:rsidRDefault="00C92E14" w:rsidP="00C92E14"/>
        </w:tc>
        <w:tc>
          <w:tcPr>
            <w:tcW w:w="810" w:type="dxa"/>
          </w:tcPr>
          <w:p w14:paraId="1B301536" w14:textId="5818C90E" w:rsidR="00C92E14" w:rsidRPr="00937662" w:rsidRDefault="00282F2D" w:rsidP="00C92E14">
            <w:r>
              <w:t>x</w:t>
            </w:r>
          </w:p>
        </w:tc>
        <w:tc>
          <w:tcPr>
            <w:tcW w:w="1440" w:type="dxa"/>
          </w:tcPr>
          <w:p w14:paraId="1EAA717D" w14:textId="77777777" w:rsidR="00C92E14" w:rsidRPr="00937662" w:rsidRDefault="00C92E14" w:rsidP="00C92E14">
            <w:r w:rsidRPr="00937662">
              <w:t>E lartë</w:t>
            </w:r>
          </w:p>
        </w:tc>
        <w:tc>
          <w:tcPr>
            <w:tcW w:w="1260" w:type="dxa"/>
          </w:tcPr>
          <w:p w14:paraId="0BD09D15" w14:textId="77777777" w:rsidR="00C92E14" w:rsidRPr="00937662" w:rsidRDefault="00C92E14" w:rsidP="00C92E14">
            <w:r w:rsidRPr="00937662">
              <w:t>E ulët</w:t>
            </w:r>
          </w:p>
        </w:tc>
        <w:tc>
          <w:tcPr>
            <w:tcW w:w="1980" w:type="dxa"/>
          </w:tcPr>
          <w:p w14:paraId="5D26EBD8" w14:textId="77777777" w:rsidR="00C92E14" w:rsidRPr="00937662" w:rsidRDefault="00C92E14" w:rsidP="00C92E14"/>
        </w:tc>
      </w:tr>
      <w:tr w:rsidR="00C92E14" w:rsidRPr="00937662" w14:paraId="32A803B4" w14:textId="77777777" w:rsidTr="003E4E3B">
        <w:tc>
          <w:tcPr>
            <w:tcW w:w="1260" w:type="dxa"/>
            <w:vMerge w:val="restart"/>
          </w:tcPr>
          <w:p w14:paraId="6730C8DB" w14:textId="77777777" w:rsidR="00C92E14" w:rsidRPr="00937662" w:rsidRDefault="00C92E14" w:rsidP="00C92E14">
            <w:r w:rsidRPr="00937662">
              <w:lastRenderedPageBreak/>
              <w:t>Krimi dhe siguria</w:t>
            </w:r>
          </w:p>
        </w:tc>
        <w:tc>
          <w:tcPr>
            <w:tcW w:w="2610" w:type="dxa"/>
          </w:tcPr>
          <w:p w14:paraId="5596787C" w14:textId="77777777" w:rsidR="00C92E14" w:rsidRPr="00937662" w:rsidRDefault="00C92E14" w:rsidP="00C92E14">
            <w:r w:rsidRPr="00937662">
              <w:t>A ka mundësi të preken kriminelët?</w:t>
            </w:r>
          </w:p>
        </w:tc>
        <w:tc>
          <w:tcPr>
            <w:tcW w:w="810" w:type="dxa"/>
          </w:tcPr>
          <w:p w14:paraId="089921B7" w14:textId="77777777" w:rsidR="00C92E14" w:rsidRPr="00937662" w:rsidRDefault="00C92E14" w:rsidP="00C92E14"/>
        </w:tc>
        <w:tc>
          <w:tcPr>
            <w:tcW w:w="810" w:type="dxa"/>
          </w:tcPr>
          <w:p w14:paraId="75AF15D6" w14:textId="77777777" w:rsidR="00C92E14" w:rsidRPr="00937662" w:rsidRDefault="00C92E14" w:rsidP="00C92E14">
            <w:r w:rsidRPr="00937662">
              <w:t>x</w:t>
            </w:r>
          </w:p>
        </w:tc>
        <w:tc>
          <w:tcPr>
            <w:tcW w:w="1440" w:type="dxa"/>
          </w:tcPr>
          <w:p w14:paraId="58E5A0F6" w14:textId="77777777" w:rsidR="00C92E14" w:rsidRPr="00937662" w:rsidRDefault="00C92E14" w:rsidP="00C92E14"/>
        </w:tc>
        <w:tc>
          <w:tcPr>
            <w:tcW w:w="1260" w:type="dxa"/>
          </w:tcPr>
          <w:p w14:paraId="7C5CDEB2" w14:textId="77777777" w:rsidR="00C92E14" w:rsidRPr="00937662" w:rsidRDefault="00C92E14" w:rsidP="00C92E14"/>
        </w:tc>
        <w:tc>
          <w:tcPr>
            <w:tcW w:w="1980" w:type="dxa"/>
          </w:tcPr>
          <w:p w14:paraId="11D850FF" w14:textId="77777777" w:rsidR="00C92E14" w:rsidRPr="00937662" w:rsidRDefault="00C92E14" w:rsidP="00C92E14"/>
        </w:tc>
      </w:tr>
      <w:tr w:rsidR="00C92E14" w:rsidRPr="00937662" w14:paraId="7946890F" w14:textId="77777777" w:rsidTr="003E4E3B">
        <w:tc>
          <w:tcPr>
            <w:tcW w:w="1260" w:type="dxa"/>
            <w:vMerge/>
          </w:tcPr>
          <w:p w14:paraId="72A2EBA7" w14:textId="77777777" w:rsidR="00C92E14" w:rsidRPr="00937662" w:rsidRDefault="00C92E14" w:rsidP="00C92E14"/>
        </w:tc>
        <w:tc>
          <w:tcPr>
            <w:tcW w:w="2610" w:type="dxa"/>
          </w:tcPr>
          <w:p w14:paraId="6F3748A5" w14:textId="77777777" w:rsidR="00C92E14" w:rsidRPr="00937662" w:rsidRDefault="00C92E14" w:rsidP="00C92E14">
            <w:r w:rsidRPr="00937662">
              <w:t>A preket fitimi i mundshëm nga krimi?</w:t>
            </w:r>
          </w:p>
        </w:tc>
        <w:tc>
          <w:tcPr>
            <w:tcW w:w="810" w:type="dxa"/>
          </w:tcPr>
          <w:p w14:paraId="36EAE032" w14:textId="77777777" w:rsidR="00C92E14" w:rsidRPr="00937662" w:rsidRDefault="00C92E14" w:rsidP="00C92E14"/>
        </w:tc>
        <w:tc>
          <w:tcPr>
            <w:tcW w:w="810" w:type="dxa"/>
          </w:tcPr>
          <w:p w14:paraId="6BA7BA8C" w14:textId="77777777" w:rsidR="00C92E14" w:rsidRPr="00937662" w:rsidRDefault="00C92E14" w:rsidP="00C92E14">
            <w:r w:rsidRPr="00937662">
              <w:t>x</w:t>
            </w:r>
          </w:p>
        </w:tc>
        <w:tc>
          <w:tcPr>
            <w:tcW w:w="1440" w:type="dxa"/>
          </w:tcPr>
          <w:p w14:paraId="1CAC8BA4" w14:textId="77777777" w:rsidR="00C92E14" w:rsidRPr="00937662" w:rsidRDefault="00C92E14" w:rsidP="00C92E14"/>
        </w:tc>
        <w:tc>
          <w:tcPr>
            <w:tcW w:w="1260" w:type="dxa"/>
          </w:tcPr>
          <w:p w14:paraId="2275D2F2" w14:textId="77777777" w:rsidR="00C92E14" w:rsidRPr="00937662" w:rsidRDefault="00C92E14" w:rsidP="00C92E14"/>
        </w:tc>
        <w:tc>
          <w:tcPr>
            <w:tcW w:w="1980" w:type="dxa"/>
          </w:tcPr>
          <w:p w14:paraId="1D2A4284" w14:textId="77777777" w:rsidR="00C92E14" w:rsidRPr="00937662" w:rsidRDefault="00C92E14" w:rsidP="00C92E14"/>
        </w:tc>
      </w:tr>
      <w:tr w:rsidR="00C92E14" w:rsidRPr="00937662" w14:paraId="3AC09DA3" w14:textId="77777777" w:rsidTr="003E4E3B">
        <w:tc>
          <w:tcPr>
            <w:tcW w:w="1260" w:type="dxa"/>
            <w:vMerge/>
          </w:tcPr>
          <w:p w14:paraId="2204ECC0" w14:textId="77777777" w:rsidR="00C92E14" w:rsidRPr="00937662" w:rsidRDefault="00C92E14" w:rsidP="00C92E14"/>
        </w:tc>
        <w:tc>
          <w:tcPr>
            <w:tcW w:w="2610" w:type="dxa"/>
          </w:tcPr>
          <w:p w14:paraId="31FB5599" w14:textId="77777777" w:rsidR="00C92E14" w:rsidRPr="00937662" w:rsidRDefault="00C92E14" w:rsidP="00C92E14">
            <w:r w:rsidRPr="00937662">
              <w:t>A ndikon në nivelet e korrupsionit?</w:t>
            </w:r>
          </w:p>
        </w:tc>
        <w:tc>
          <w:tcPr>
            <w:tcW w:w="810" w:type="dxa"/>
          </w:tcPr>
          <w:p w14:paraId="120F8BE0" w14:textId="77777777" w:rsidR="00C92E14" w:rsidRPr="00937662" w:rsidRDefault="00C92E14" w:rsidP="00C92E14"/>
        </w:tc>
        <w:tc>
          <w:tcPr>
            <w:tcW w:w="810" w:type="dxa"/>
          </w:tcPr>
          <w:p w14:paraId="7975DA2D" w14:textId="77777777" w:rsidR="00C92E14" w:rsidRPr="00937662" w:rsidRDefault="00C92E14" w:rsidP="00C92E14">
            <w:r w:rsidRPr="00937662">
              <w:t>x</w:t>
            </w:r>
          </w:p>
        </w:tc>
        <w:tc>
          <w:tcPr>
            <w:tcW w:w="1440" w:type="dxa"/>
          </w:tcPr>
          <w:p w14:paraId="393FED54" w14:textId="77777777" w:rsidR="00C92E14" w:rsidRPr="00937662" w:rsidRDefault="00C92E14" w:rsidP="00C92E14"/>
        </w:tc>
        <w:tc>
          <w:tcPr>
            <w:tcW w:w="1260" w:type="dxa"/>
          </w:tcPr>
          <w:p w14:paraId="64808874" w14:textId="77777777" w:rsidR="00C92E14" w:rsidRPr="00937662" w:rsidRDefault="00C92E14" w:rsidP="00C92E14"/>
        </w:tc>
        <w:tc>
          <w:tcPr>
            <w:tcW w:w="1980" w:type="dxa"/>
          </w:tcPr>
          <w:p w14:paraId="31FFBB49" w14:textId="77777777" w:rsidR="00C92E14" w:rsidRPr="00937662" w:rsidRDefault="00C92E14" w:rsidP="00C92E14"/>
        </w:tc>
      </w:tr>
      <w:tr w:rsidR="00C92E14" w:rsidRPr="00937662" w14:paraId="69A164B2" w14:textId="77777777" w:rsidTr="003E4E3B">
        <w:tc>
          <w:tcPr>
            <w:tcW w:w="1260" w:type="dxa"/>
            <w:vMerge/>
          </w:tcPr>
          <w:p w14:paraId="0A6C3FF3" w14:textId="77777777" w:rsidR="00C92E14" w:rsidRPr="00937662" w:rsidRDefault="00C92E14" w:rsidP="00C92E14"/>
        </w:tc>
        <w:tc>
          <w:tcPr>
            <w:tcW w:w="2610" w:type="dxa"/>
          </w:tcPr>
          <w:p w14:paraId="75DDF68F" w14:textId="77777777" w:rsidR="00C92E14" w:rsidRPr="00937662" w:rsidRDefault="00C92E14" w:rsidP="00C92E14">
            <w:r w:rsidRPr="00937662">
              <w:t>A ka ndikim në kapacitetin e zbatimit të ligjit?</w:t>
            </w:r>
          </w:p>
        </w:tc>
        <w:tc>
          <w:tcPr>
            <w:tcW w:w="810" w:type="dxa"/>
          </w:tcPr>
          <w:p w14:paraId="5F48CF5F" w14:textId="77777777" w:rsidR="00C92E14" w:rsidRPr="00937662" w:rsidRDefault="00C92E14" w:rsidP="00C92E14">
            <w:r w:rsidRPr="00937662">
              <w:t>x</w:t>
            </w:r>
          </w:p>
        </w:tc>
        <w:tc>
          <w:tcPr>
            <w:tcW w:w="810" w:type="dxa"/>
          </w:tcPr>
          <w:p w14:paraId="0748606F" w14:textId="77777777" w:rsidR="00C92E14" w:rsidRPr="00937662" w:rsidRDefault="00C92E14" w:rsidP="00C92E14"/>
        </w:tc>
        <w:tc>
          <w:tcPr>
            <w:tcW w:w="1440" w:type="dxa"/>
          </w:tcPr>
          <w:p w14:paraId="7EA82B88" w14:textId="77777777" w:rsidR="00C92E14" w:rsidRPr="00937662" w:rsidRDefault="00C92E14" w:rsidP="00C92E14">
            <w:r w:rsidRPr="00937662">
              <w:t>E lartë</w:t>
            </w:r>
          </w:p>
        </w:tc>
        <w:tc>
          <w:tcPr>
            <w:tcW w:w="1260" w:type="dxa"/>
          </w:tcPr>
          <w:p w14:paraId="149AFCDD" w14:textId="77777777" w:rsidR="00C92E14" w:rsidRPr="00937662" w:rsidRDefault="00C92E14" w:rsidP="00C92E14">
            <w:r w:rsidRPr="00937662">
              <w:t>E ulët</w:t>
            </w:r>
          </w:p>
        </w:tc>
        <w:tc>
          <w:tcPr>
            <w:tcW w:w="1980" w:type="dxa"/>
          </w:tcPr>
          <w:p w14:paraId="18E378E3" w14:textId="77777777" w:rsidR="00C92E14" w:rsidRPr="00937662" w:rsidRDefault="00C92E14" w:rsidP="00C92E14"/>
        </w:tc>
      </w:tr>
      <w:tr w:rsidR="00C92E14" w:rsidRPr="00937662" w14:paraId="4D51F8B1" w14:textId="77777777" w:rsidTr="003E4E3B">
        <w:tc>
          <w:tcPr>
            <w:tcW w:w="1260" w:type="dxa"/>
            <w:vMerge/>
          </w:tcPr>
          <w:p w14:paraId="6FA0DE66" w14:textId="77777777" w:rsidR="00C92E14" w:rsidRPr="00937662" w:rsidRDefault="00C92E14" w:rsidP="00C92E14"/>
        </w:tc>
        <w:tc>
          <w:tcPr>
            <w:tcW w:w="2610" w:type="dxa"/>
          </w:tcPr>
          <w:p w14:paraId="0980D1D0" w14:textId="77777777" w:rsidR="00C92E14" w:rsidRPr="00937662" w:rsidRDefault="00C92E14" w:rsidP="00C92E14">
            <w:r w:rsidRPr="00937662">
              <w:t>A ka ndonjë ndikim në të drejtat dhe sigurinë e viktimave të krimit?</w:t>
            </w:r>
          </w:p>
        </w:tc>
        <w:tc>
          <w:tcPr>
            <w:tcW w:w="810" w:type="dxa"/>
          </w:tcPr>
          <w:p w14:paraId="2DFDDBA0" w14:textId="77777777" w:rsidR="00C92E14" w:rsidRPr="00937662" w:rsidRDefault="00C92E14" w:rsidP="00C92E14"/>
        </w:tc>
        <w:tc>
          <w:tcPr>
            <w:tcW w:w="810" w:type="dxa"/>
          </w:tcPr>
          <w:p w14:paraId="7EDF5267" w14:textId="77777777" w:rsidR="00C92E14" w:rsidRPr="00937662" w:rsidRDefault="00C92E14" w:rsidP="00C92E14">
            <w:r w:rsidRPr="00937662">
              <w:t>x</w:t>
            </w:r>
          </w:p>
        </w:tc>
        <w:tc>
          <w:tcPr>
            <w:tcW w:w="1440" w:type="dxa"/>
          </w:tcPr>
          <w:p w14:paraId="58692BFB" w14:textId="77777777" w:rsidR="00C92E14" w:rsidRPr="00937662" w:rsidRDefault="00C92E14" w:rsidP="00C92E14"/>
        </w:tc>
        <w:tc>
          <w:tcPr>
            <w:tcW w:w="1260" w:type="dxa"/>
          </w:tcPr>
          <w:p w14:paraId="55C9320B" w14:textId="77777777" w:rsidR="00C92E14" w:rsidRPr="00937662" w:rsidRDefault="00C92E14" w:rsidP="00C92E14"/>
        </w:tc>
        <w:tc>
          <w:tcPr>
            <w:tcW w:w="1980" w:type="dxa"/>
          </w:tcPr>
          <w:p w14:paraId="2291C57C" w14:textId="77777777" w:rsidR="00C92E14" w:rsidRPr="00937662" w:rsidRDefault="00C92E14" w:rsidP="00C92E14"/>
        </w:tc>
      </w:tr>
    </w:tbl>
    <w:p w14:paraId="5CBE858D" w14:textId="77777777" w:rsidR="00C92E14" w:rsidRPr="00937662" w:rsidRDefault="00C92E14" w:rsidP="00C92E14">
      <w:r w:rsidRPr="00937662">
        <w:br w:type="page"/>
      </w:r>
    </w:p>
    <w:p w14:paraId="1416579B" w14:textId="77777777" w:rsidR="00C92E14" w:rsidRPr="00937662" w:rsidRDefault="00C92E14" w:rsidP="006549E0">
      <w:pPr>
        <w:pStyle w:val="Heading1"/>
        <w:rPr>
          <w:sz w:val="28"/>
          <w:szCs w:val="28"/>
        </w:rPr>
      </w:pPr>
      <w:bookmarkStart w:id="38" w:name="_Toc66089570"/>
      <w:bookmarkStart w:id="39" w:name="_Toc69198237"/>
      <w:r w:rsidRPr="00937662">
        <w:rPr>
          <w:sz w:val="28"/>
          <w:szCs w:val="28"/>
        </w:rPr>
        <w:lastRenderedPageBreak/>
        <w:t xml:space="preserve">Aneksi 3: Formulari i vlerësimit të ndikimit mjedisor </w:t>
      </w:r>
      <w:r w:rsidRPr="00937662">
        <w:rPr>
          <w:sz w:val="28"/>
          <w:szCs w:val="28"/>
          <w:vertAlign w:val="superscript"/>
        </w:rPr>
        <w:footnoteReference w:id="5"/>
      </w:r>
      <w:bookmarkEnd w:id="38"/>
      <w:bookmarkEnd w:id="39"/>
    </w:p>
    <w:tbl>
      <w:tblPr>
        <w:tblStyle w:val="TableGrid"/>
        <w:tblW w:w="10260" w:type="dxa"/>
        <w:tblInd w:w="-635" w:type="dxa"/>
        <w:tblLayout w:type="fixed"/>
        <w:tblLook w:val="04A0" w:firstRow="1" w:lastRow="0" w:firstColumn="1" w:lastColumn="0" w:noHBand="0" w:noVBand="1"/>
      </w:tblPr>
      <w:tblGrid>
        <w:gridCol w:w="1260"/>
        <w:gridCol w:w="2970"/>
        <w:gridCol w:w="720"/>
        <w:gridCol w:w="720"/>
        <w:gridCol w:w="1350"/>
        <w:gridCol w:w="1260"/>
        <w:gridCol w:w="1980"/>
      </w:tblGrid>
      <w:tr w:rsidR="00C92E14" w:rsidRPr="00937662" w14:paraId="27440149" w14:textId="77777777" w:rsidTr="009305D6">
        <w:tc>
          <w:tcPr>
            <w:tcW w:w="1260" w:type="dxa"/>
            <w:vMerge w:val="restart"/>
          </w:tcPr>
          <w:p w14:paraId="382B7F92" w14:textId="77777777" w:rsidR="00C92E14" w:rsidRPr="00937662" w:rsidRDefault="00C92E14" w:rsidP="00C92E14">
            <w:pPr>
              <w:rPr>
                <w:b/>
              </w:rPr>
            </w:pPr>
            <w:r w:rsidRPr="00937662">
              <w:rPr>
                <w:b/>
              </w:rPr>
              <w:t>Kategoria e ndikimeve mjedisore</w:t>
            </w:r>
          </w:p>
        </w:tc>
        <w:tc>
          <w:tcPr>
            <w:tcW w:w="2970" w:type="dxa"/>
            <w:vMerge w:val="restart"/>
          </w:tcPr>
          <w:p w14:paraId="77C9C898" w14:textId="77777777" w:rsidR="00C92E14" w:rsidRPr="00937662" w:rsidRDefault="00C92E14" w:rsidP="00C92E14">
            <w:pPr>
              <w:rPr>
                <w:b/>
              </w:rPr>
            </w:pPr>
            <w:r w:rsidRPr="00937662">
              <w:rPr>
                <w:b/>
              </w:rPr>
              <w:t>Ndikimi kryesor</w:t>
            </w:r>
          </w:p>
        </w:tc>
        <w:tc>
          <w:tcPr>
            <w:tcW w:w="1440" w:type="dxa"/>
            <w:gridSpan w:val="2"/>
          </w:tcPr>
          <w:p w14:paraId="13217724" w14:textId="77777777" w:rsidR="00C92E14" w:rsidRPr="00937662" w:rsidRDefault="00C92E14" w:rsidP="00C92E14">
            <w:pPr>
              <w:rPr>
                <w:b/>
              </w:rPr>
            </w:pPr>
            <w:r w:rsidRPr="00937662">
              <w:rPr>
                <w:b/>
              </w:rPr>
              <w:t>A pritet të ndodhë ky ndikim?</w:t>
            </w:r>
          </w:p>
        </w:tc>
        <w:tc>
          <w:tcPr>
            <w:tcW w:w="1350" w:type="dxa"/>
          </w:tcPr>
          <w:p w14:paraId="05E466BD" w14:textId="77777777" w:rsidR="00C92E14" w:rsidRPr="00937662" w:rsidRDefault="00C92E14" w:rsidP="00C92E14">
            <w:pPr>
              <w:rPr>
                <w:b/>
              </w:rPr>
            </w:pPr>
            <w:r w:rsidRPr="00937662">
              <w:rPr>
                <w:b/>
              </w:rPr>
              <w:t>Numri i organizatave, kompanive dhe / ose individëve të prekur</w:t>
            </w:r>
          </w:p>
        </w:tc>
        <w:tc>
          <w:tcPr>
            <w:tcW w:w="1260" w:type="dxa"/>
          </w:tcPr>
          <w:p w14:paraId="26461F27" w14:textId="77777777" w:rsidR="00C92E14" w:rsidRPr="00937662" w:rsidRDefault="00C92E14" w:rsidP="00C92E14">
            <w:pPr>
              <w:rPr>
                <w:b/>
              </w:rPr>
            </w:pPr>
            <w:r w:rsidRPr="00937662">
              <w:rPr>
                <w:b/>
              </w:rPr>
              <w:t>Përfitimi ose kostoja e pritur e ndikimit</w:t>
            </w:r>
          </w:p>
        </w:tc>
        <w:tc>
          <w:tcPr>
            <w:tcW w:w="1980" w:type="dxa"/>
          </w:tcPr>
          <w:p w14:paraId="6B25E160" w14:textId="77777777" w:rsidR="00C92E14" w:rsidRPr="00937662" w:rsidRDefault="00C92E14" w:rsidP="00C92E14">
            <w:pPr>
              <w:rPr>
                <w:b/>
              </w:rPr>
            </w:pPr>
            <w:r w:rsidRPr="00937662">
              <w:rPr>
                <w:b/>
              </w:rPr>
              <w:t>Niveli i preferuar i analizës</w:t>
            </w:r>
          </w:p>
        </w:tc>
      </w:tr>
      <w:tr w:rsidR="00C92E14" w:rsidRPr="00937662" w14:paraId="218F67E9" w14:textId="77777777" w:rsidTr="009305D6">
        <w:tc>
          <w:tcPr>
            <w:tcW w:w="1260" w:type="dxa"/>
            <w:vMerge/>
          </w:tcPr>
          <w:p w14:paraId="76F20616" w14:textId="77777777" w:rsidR="00C92E14" w:rsidRPr="00937662" w:rsidRDefault="00C92E14" w:rsidP="00C92E14"/>
        </w:tc>
        <w:tc>
          <w:tcPr>
            <w:tcW w:w="2970" w:type="dxa"/>
            <w:vMerge/>
          </w:tcPr>
          <w:p w14:paraId="3DE07F84" w14:textId="77777777" w:rsidR="00C92E14" w:rsidRPr="00937662" w:rsidRDefault="00C92E14" w:rsidP="00C92E14"/>
        </w:tc>
        <w:tc>
          <w:tcPr>
            <w:tcW w:w="720" w:type="dxa"/>
          </w:tcPr>
          <w:p w14:paraId="6888B8CD" w14:textId="77777777" w:rsidR="00C92E14" w:rsidRPr="00937662" w:rsidRDefault="00C92E14" w:rsidP="00C92E14">
            <w:pPr>
              <w:rPr>
                <w:b/>
              </w:rPr>
            </w:pPr>
            <w:r w:rsidRPr="00937662">
              <w:rPr>
                <w:b/>
              </w:rPr>
              <w:t>Po</w:t>
            </w:r>
          </w:p>
        </w:tc>
        <w:tc>
          <w:tcPr>
            <w:tcW w:w="720" w:type="dxa"/>
          </w:tcPr>
          <w:p w14:paraId="6026861C" w14:textId="77777777" w:rsidR="00C92E14" w:rsidRPr="00937662" w:rsidRDefault="00C92E14" w:rsidP="00C92E14">
            <w:pPr>
              <w:rPr>
                <w:b/>
              </w:rPr>
            </w:pPr>
            <w:r w:rsidRPr="00937662">
              <w:rPr>
                <w:b/>
              </w:rPr>
              <w:t>Jo</w:t>
            </w:r>
          </w:p>
        </w:tc>
        <w:tc>
          <w:tcPr>
            <w:tcW w:w="1350" w:type="dxa"/>
          </w:tcPr>
          <w:p w14:paraId="40F3C0C1" w14:textId="77777777" w:rsidR="00C92E14" w:rsidRPr="00937662" w:rsidRDefault="00C92E14" w:rsidP="00C92E14">
            <w:pPr>
              <w:rPr>
                <w:b/>
              </w:rPr>
            </w:pPr>
            <w:r w:rsidRPr="00937662">
              <w:rPr>
                <w:b/>
              </w:rPr>
              <w:t>I lartë / i ulët</w:t>
            </w:r>
          </w:p>
        </w:tc>
        <w:tc>
          <w:tcPr>
            <w:tcW w:w="1260" w:type="dxa"/>
          </w:tcPr>
          <w:p w14:paraId="62368B1F" w14:textId="77777777" w:rsidR="00C92E14" w:rsidRPr="00937662" w:rsidRDefault="00C92E14" w:rsidP="00C92E14">
            <w:pPr>
              <w:rPr>
                <w:b/>
              </w:rPr>
            </w:pPr>
            <w:r w:rsidRPr="00937662">
              <w:rPr>
                <w:b/>
              </w:rPr>
              <w:t>I lartë / i ulët</w:t>
            </w:r>
          </w:p>
        </w:tc>
        <w:tc>
          <w:tcPr>
            <w:tcW w:w="1980" w:type="dxa"/>
          </w:tcPr>
          <w:p w14:paraId="61840A63" w14:textId="77777777" w:rsidR="00C92E14" w:rsidRPr="00937662" w:rsidRDefault="00C92E14" w:rsidP="00C92E14">
            <w:pPr>
              <w:rPr>
                <w:b/>
              </w:rPr>
            </w:pPr>
          </w:p>
        </w:tc>
      </w:tr>
      <w:tr w:rsidR="00C92E14" w:rsidRPr="00937662" w14:paraId="6BDDD556" w14:textId="77777777" w:rsidTr="009305D6">
        <w:tc>
          <w:tcPr>
            <w:tcW w:w="1260" w:type="dxa"/>
            <w:vMerge w:val="restart"/>
          </w:tcPr>
          <w:p w14:paraId="1592175C" w14:textId="77777777" w:rsidR="00C92E14" w:rsidRPr="00937662" w:rsidRDefault="00C92E14" w:rsidP="00C92E14">
            <w:r w:rsidRPr="00937662">
              <w:t>Klima dhe mjedisi i qëndrueshëm</w:t>
            </w:r>
          </w:p>
        </w:tc>
        <w:tc>
          <w:tcPr>
            <w:tcW w:w="2970" w:type="dxa"/>
          </w:tcPr>
          <w:p w14:paraId="2096E35D" w14:textId="77777777" w:rsidR="00C92E14" w:rsidRPr="00937662" w:rsidRDefault="00C92E14" w:rsidP="00C92E14">
            <w:r w:rsidRPr="00937662">
              <w:t>A do të ndikojë në emetimin e gazrave serë (</w:t>
            </w:r>
            <w:proofErr w:type="spellStart"/>
            <w:r w:rsidRPr="00937662">
              <w:t>dioksid</w:t>
            </w:r>
            <w:proofErr w:type="spellEnd"/>
            <w:r w:rsidRPr="00937662">
              <w:t xml:space="preserve"> karboni, metani </w:t>
            </w:r>
            <w:proofErr w:type="spellStart"/>
            <w:r w:rsidRPr="00937662">
              <w:t>etj</w:t>
            </w:r>
            <w:proofErr w:type="spellEnd"/>
            <w:r w:rsidRPr="00937662">
              <w:t>)?</w:t>
            </w:r>
          </w:p>
        </w:tc>
        <w:tc>
          <w:tcPr>
            <w:tcW w:w="720" w:type="dxa"/>
          </w:tcPr>
          <w:p w14:paraId="579D3070" w14:textId="2BF9B500" w:rsidR="00C92E14" w:rsidRPr="00937662" w:rsidRDefault="00C92E14" w:rsidP="00C92E14"/>
        </w:tc>
        <w:tc>
          <w:tcPr>
            <w:tcW w:w="720" w:type="dxa"/>
          </w:tcPr>
          <w:p w14:paraId="445827BB" w14:textId="22F80424" w:rsidR="00C92E14" w:rsidRPr="00937662" w:rsidRDefault="0090278E" w:rsidP="00C92E14">
            <w:r>
              <w:t>x</w:t>
            </w:r>
          </w:p>
        </w:tc>
        <w:tc>
          <w:tcPr>
            <w:tcW w:w="1350" w:type="dxa"/>
          </w:tcPr>
          <w:p w14:paraId="04F9121F" w14:textId="77777777" w:rsidR="00C92E14" w:rsidRPr="00937662" w:rsidRDefault="00C92E14" w:rsidP="00C92E14">
            <w:r w:rsidRPr="00937662">
              <w:t>E lartë</w:t>
            </w:r>
          </w:p>
        </w:tc>
        <w:tc>
          <w:tcPr>
            <w:tcW w:w="1260" w:type="dxa"/>
          </w:tcPr>
          <w:p w14:paraId="6238D2ED" w14:textId="77777777" w:rsidR="00C92E14" w:rsidRPr="00937662" w:rsidRDefault="00C92E14" w:rsidP="00C92E14">
            <w:r w:rsidRPr="00937662">
              <w:t>E ulët</w:t>
            </w:r>
          </w:p>
        </w:tc>
        <w:tc>
          <w:tcPr>
            <w:tcW w:w="1980" w:type="dxa"/>
          </w:tcPr>
          <w:p w14:paraId="3900B99F" w14:textId="77777777" w:rsidR="00C92E14" w:rsidRPr="00937662" w:rsidRDefault="00C92E14" w:rsidP="00C92E14"/>
        </w:tc>
      </w:tr>
      <w:tr w:rsidR="00C92E14" w:rsidRPr="00937662" w14:paraId="0F78656C" w14:textId="77777777" w:rsidTr="009305D6">
        <w:tc>
          <w:tcPr>
            <w:tcW w:w="1260" w:type="dxa"/>
            <w:vMerge/>
          </w:tcPr>
          <w:p w14:paraId="384E3682" w14:textId="77777777" w:rsidR="00C92E14" w:rsidRPr="00937662" w:rsidRDefault="00C92E14" w:rsidP="00C92E14"/>
        </w:tc>
        <w:tc>
          <w:tcPr>
            <w:tcW w:w="2970" w:type="dxa"/>
          </w:tcPr>
          <w:p w14:paraId="2B8DF338" w14:textId="77777777" w:rsidR="00C92E14" w:rsidRPr="00937662" w:rsidRDefault="00C92E14" w:rsidP="00C92E14">
            <w:r w:rsidRPr="00937662">
              <w:t>A do të ketë ndikim në konsumin e karburantit?</w:t>
            </w:r>
          </w:p>
        </w:tc>
        <w:tc>
          <w:tcPr>
            <w:tcW w:w="720" w:type="dxa"/>
          </w:tcPr>
          <w:p w14:paraId="7FB86496" w14:textId="77777777" w:rsidR="00C92E14" w:rsidRPr="00937662" w:rsidRDefault="00C92E14" w:rsidP="00C92E14"/>
        </w:tc>
        <w:tc>
          <w:tcPr>
            <w:tcW w:w="720" w:type="dxa"/>
          </w:tcPr>
          <w:p w14:paraId="5FF7C600" w14:textId="77777777" w:rsidR="00C92E14" w:rsidRPr="00937662" w:rsidRDefault="00C92E14" w:rsidP="00C92E14">
            <w:r w:rsidRPr="00937662">
              <w:t>x</w:t>
            </w:r>
          </w:p>
        </w:tc>
        <w:tc>
          <w:tcPr>
            <w:tcW w:w="1350" w:type="dxa"/>
          </w:tcPr>
          <w:p w14:paraId="3F73E36A" w14:textId="77777777" w:rsidR="00C92E14" w:rsidRPr="00937662" w:rsidRDefault="00C92E14" w:rsidP="00C92E14"/>
        </w:tc>
        <w:tc>
          <w:tcPr>
            <w:tcW w:w="1260" w:type="dxa"/>
          </w:tcPr>
          <w:p w14:paraId="5BE8252F" w14:textId="77777777" w:rsidR="00C92E14" w:rsidRPr="00937662" w:rsidRDefault="00C92E14" w:rsidP="00C92E14"/>
        </w:tc>
        <w:tc>
          <w:tcPr>
            <w:tcW w:w="1980" w:type="dxa"/>
          </w:tcPr>
          <w:p w14:paraId="73E76772" w14:textId="77777777" w:rsidR="00C92E14" w:rsidRPr="00937662" w:rsidRDefault="00C92E14" w:rsidP="00C92E14"/>
        </w:tc>
      </w:tr>
      <w:tr w:rsidR="00C92E14" w:rsidRPr="00937662" w14:paraId="228D1F2F" w14:textId="77777777" w:rsidTr="009305D6">
        <w:tc>
          <w:tcPr>
            <w:tcW w:w="1260" w:type="dxa"/>
            <w:vMerge/>
          </w:tcPr>
          <w:p w14:paraId="18D78E05" w14:textId="77777777" w:rsidR="00C92E14" w:rsidRPr="00937662" w:rsidRDefault="00C92E14" w:rsidP="00C92E14"/>
        </w:tc>
        <w:tc>
          <w:tcPr>
            <w:tcW w:w="2970" w:type="dxa"/>
          </w:tcPr>
          <w:p w14:paraId="2070089F" w14:textId="77777777" w:rsidR="00C92E14" w:rsidRPr="00937662" w:rsidRDefault="00C92E14" w:rsidP="00C92E14">
            <w:r w:rsidRPr="00937662">
              <w:t>A do të ndryshojë larmia e burimeve që përdoren për prodhimin e energjisë?</w:t>
            </w:r>
          </w:p>
        </w:tc>
        <w:tc>
          <w:tcPr>
            <w:tcW w:w="720" w:type="dxa"/>
          </w:tcPr>
          <w:p w14:paraId="05077516" w14:textId="77777777" w:rsidR="00C92E14" w:rsidRPr="00937662" w:rsidRDefault="00C92E14" w:rsidP="00C92E14"/>
        </w:tc>
        <w:tc>
          <w:tcPr>
            <w:tcW w:w="720" w:type="dxa"/>
          </w:tcPr>
          <w:p w14:paraId="0A237EC0" w14:textId="77777777" w:rsidR="00C92E14" w:rsidRPr="00937662" w:rsidRDefault="00C92E14" w:rsidP="00C92E14">
            <w:r w:rsidRPr="00937662">
              <w:t>x</w:t>
            </w:r>
          </w:p>
        </w:tc>
        <w:tc>
          <w:tcPr>
            <w:tcW w:w="1350" w:type="dxa"/>
          </w:tcPr>
          <w:p w14:paraId="0EC2303E" w14:textId="77777777" w:rsidR="00C92E14" w:rsidRPr="00937662" w:rsidRDefault="00C92E14" w:rsidP="00C92E14"/>
        </w:tc>
        <w:tc>
          <w:tcPr>
            <w:tcW w:w="1260" w:type="dxa"/>
          </w:tcPr>
          <w:p w14:paraId="4AC17F9B" w14:textId="77777777" w:rsidR="00C92E14" w:rsidRPr="00937662" w:rsidRDefault="00C92E14" w:rsidP="00C92E14"/>
        </w:tc>
        <w:tc>
          <w:tcPr>
            <w:tcW w:w="1980" w:type="dxa"/>
          </w:tcPr>
          <w:p w14:paraId="7C494947" w14:textId="77777777" w:rsidR="00C92E14" w:rsidRPr="00937662" w:rsidRDefault="00C92E14" w:rsidP="00C92E14"/>
        </w:tc>
      </w:tr>
      <w:tr w:rsidR="00C92E14" w:rsidRPr="00937662" w14:paraId="6D861D47" w14:textId="77777777" w:rsidTr="009305D6">
        <w:tc>
          <w:tcPr>
            <w:tcW w:w="1260" w:type="dxa"/>
            <w:vMerge/>
          </w:tcPr>
          <w:p w14:paraId="1AF20141" w14:textId="77777777" w:rsidR="00C92E14" w:rsidRPr="00937662" w:rsidRDefault="00C92E14" w:rsidP="00C92E14"/>
        </w:tc>
        <w:tc>
          <w:tcPr>
            <w:tcW w:w="2970" w:type="dxa"/>
          </w:tcPr>
          <w:p w14:paraId="5126D069" w14:textId="77777777" w:rsidR="00C92E14" w:rsidRPr="00937662" w:rsidRDefault="00C92E14" w:rsidP="00C92E14">
            <w:r w:rsidRPr="00937662">
              <w:t>A do të ketë ndonjë ndryshim në çmimet e produkteve që janë miqësore për mjedisin?</w:t>
            </w:r>
          </w:p>
        </w:tc>
        <w:tc>
          <w:tcPr>
            <w:tcW w:w="720" w:type="dxa"/>
          </w:tcPr>
          <w:p w14:paraId="59163604" w14:textId="77777777" w:rsidR="00C92E14" w:rsidRPr="00937662" w:rsidRDefault="00C92E14" w:rsidP="00C92E14"/>
        </w:tc>
        <w:tc>
          <w:tcPr>
            <w:tcW w:w="720" w:type="dxa"/>
          </w:tcPr>
          <w:p w14:paraId="44232A8B" w14:textId="77777777" w:rsidR="00C92E14" w:rsidRPr="00937662" w:rsidRDefault="00C92E14" w:rsidP="00C92E14">
            <w:r w:rsidRPr="00937662">
              <w:t>x</w:t>
            </w:r>
          </w:p>
        </w:tc>
        <w:tc>
          <w:tcPr>
            <w:tcW w:w="1350" w:type="dxa"/>
          </w:tcPr>
          <w:p w14:paraId="1423F057" w14:textId="77777777" w:rsidR="00C92E14" w:rsidRPr="00937662" w:rsidRDefault="00C92E14" w:rsidP="00C92E14"/>
        </w:tc>
        <w:tc>
          <w:tcPr>
            <w:tcW w:w="1260" w:type="dxa"/>
          </w:tcPr>
          <w:p w14:paraId="41C7E4EA" w14:textId="77777777" w:rsidR="00C92E14" w:rsidRPr="00937662" w:rsidRDefault="00C92E14" w:rsidP="00C92E14"/>
        </w:tc>
        <w:tc>
          <w:tcPr>
            <w:tcW w:w="1980" w:type="dxa"/>
          </w:tcPr>
          <w:p w14:paraId="2CA5BE66" w14:textId="77777777" w:rsidR="00C92E14" w:rsidRPr="00937662" w:rsidRDefault="00C92E14" w:rsidP="00C92E14"/>
        </w:tc>
      </w:tr>
      <w:tr w:rsidR="00C92E14" w:rsidRPr="00937662" w14:paraId="2F5E51F0" w14:textId="77777777" w:rsidTr="009305D6">
        <w:tc>
          <w:tcPr>
            <w:tcW w:w="1260" w:type="dxa"/>
            <w:vMerge/>
          </w:tcPr>
          <w:p w14:paraId="4D1E1EE9" w14:textId="77777777" w:rsidR="00C92E14" w:rsidRPr="00937662" w:rsidRDefault="00C92E14" w:rsidP="00C92E14"/>
        </w:tc>
        <w:tc>
          <w:tcPr>
            <w:tcW w:w="2970" w:type="dxa"/>
          </w:tcPr>
          <w:p w14:paraId="17949CB3" w14:textId="77777777" w:rsidR="00C92E14" w:rsidRPr="00937662" w:rsidRDefault="00C92E14" w:rsidP="00C92E14">
            <w:r w:rsidRPr="00937662">
              <w:t>A do të jenë më pak ndotëse aktivitete të caktuara?</w:t>
            </w:r>
          </w:p>
        </w:tc>
        <w:tc>
          <w:tcPr>
            <w:tcW w:w="720" w:type="dxa"/>
          </w:tcPr>
          <w:p w14:paraId="3B4C4084" w14:textId="4C0EA26C" w:rsidR="00C92E14" w:rsidRPr="00937662" w:rsidRDefault="00C92E14" w:rsidP="00C92E14"/>
        </w:tc>
        <w:tc>
          <w:tcPr>
            <w:tcW w:w="720" w:type="dxa"/>
          </w:tcPr>
          <w:p w14:paraId="7753D859" w14:textId="25A19226" w:rsidR="00C92E14" w:rsidRPr="00937662" w:rsidRDefault="0090278E" w:rsidP="00C92E14">
            <w:r>
              <w:t>x</w:t>
            </w:r>
          </w:p>
        </w:tc>
        <w:tc>
          <w:tcPr>
            <w:tcW w:w="1350" w:type="dxa"/>
          </w:tcPr>
          <w:p w14:paraId="669FCAB6" w14:textId="77777777" w:rsidR="00C92E14" w:rsidRPr="00937662" w:rsidRDefault="00C92E14" w:rsidP="00C92E14">
            <w:r w:rsidRPr="00937662">
              <w:t>E ulët</w:t>
            </w:r>
          </w:p>
        </w:tc>
        <w:tc>
          <w:tcPr>
            <w:tcW w:w="1260" w:type="dxa"/>
          </w:tcPr>
          <w:p w14:paraId="1B30960A" w14:textId="77777777" w:rsidR="00C92E14" w:rsidRPr="00937662" w:rsidRDefault="00C92E14" w:rsidP="00C92E14">
            <w:r w:rsidRPr="00937662">
              <w:t>E ulët</w:t>
            </w:r>
          </w:p>
        </w:tc>
        <w:tc>
          <w:tcPr>
            <w:tcW w:w="1980" w:type="dxa"/>
          </w:tcPr>
          <w:p w14:paraId="31F8C305" w14:textId="77777777" w:rsidR="00C92E14" w:rsidRPr="00937662" w:rsidRDefault="00C92E14" w:rsidP="00C92E14"/>
        </w:tc>
      </w:tr>
      <w:tr w:rsidR="00C92E14" w:rsidRPr="00937662" w14:paraId="75AB53E9" w14:textId="77777777" w:rsidTr="009305D6">
        <w:tc>
          <w:tcPr>
            <w:tcW w:w="1260" w:type="dxa"/>
          </w:tcPr>
          <w:p w14:paraId="507A23BA" w14:textId="77777777" w:rsidR="00C92E14" w:rsidRPr="00937662" w:rsidRDefault="00C92E14" w:rsidP="00C92E14">
            <w:r w:rsidRPr="00937662">
              <w:t>Cilësia e ajrit</w:t>
            </w:r>
          </w:p>
        </w:tc>
        <w:tc>
          <w:tcPr>
            <w:tcW w:w="2970" w:type="dxa"/>
          </w:tcPr>
          <w:p w14:paraId="78B9719B" w14:textId="77777777" w:rsidR="00C92E14" w:rsidRPr="00937662" w:rsidRDefault="00C92E14" w:rsidP="00C92E14">
            <w:r w:rsidRPr="00937662">
              <w:t>A do të ketë ndikim në emetimin e ndotësve të ajrit?</w:t>
            </w:r>
          </w:p>
        </w:tc>
        <w:tc>
          <w:tcPr>
            <w:tcW w:w="720" w:type="dxa"/>
          </w:tcPr>
          <w:p w14:paraId="7D483BBE" w14:textId="6879E0E6" w:rsidR="00C92E14" w:rsidRPr="00937662" w:rsidRDefault="00C92E14" w:rsidP="00C92E14"/>
        </w:tc>
        <w:tc>
          <w:tcPr>
            <w:tcW w:w="720" w:type="dxa"/>
          </w:tcPr>
          <w:p w14:paraId="5728F2B7" w14:textId="42708AC7" w:rsidR="00C92E14" w:rsidRPr="00937662" w:rsidRDefault="0090278E" w:rsidP="00C92E14">
            <w:r>
              <w:t>x</w:t>
            </w:r>
          </w:p>
        </w:tc>
        <w:tc>
          <w:tcPr>
            <w:tcW w:w="1350" w:type="dxa"/>
          </w:tcPr>
          <w:p w14:paraId="58F438B6" w14:textId="77777777" w:rsidR="00C92E14" w:rsidRPr="00937662" w:rsidRDefault="00C92E14" w:rsidP="00C92E14">
            <w:r w:rsidRPr="00937662">
              <w:t>E ulët</w:t>
            </w:r>
          </w:p>
        </w:tc>
        <w:tc>
          <w:tcPr>
            <w:tcW w:w="1260" w:type="dxa"/>
          </w:tcPr>
          <w:p w14:paraId="2C307CFA" w14:textId="77777777" w:rsidR="00C92E14" w:rsidRPr="00937662" w:rsidRDefault="00C92E14" w:rsidP="00C92E14">
            <w:r w:rsidRPr="00937662">
              <w:t>E ulët</w:t>
            </w:r>
          </w:p>
        </w:tc>
        <w:tc>
          <w:tcPr>
            <w:tcW w:w="1980" w:type="dxa"/>
          </w:tcPr>
          <w:p w14:paraId="5B375B02" w14:textId="77777777" w:rsidR="00C92E14" w:rsidRPr="00937662" w:rsidRDefault="00C92E14" w:rsidP="00C92E14"/>
        </w:tc>
      </w:tr>
      <w:tr w:rsidR="00C92E14" w:rsidRPr="00937662" w14:paraId="570AD663" w14:textId="77777777" w:rsidTr="009305D6">
        <w:tc>
          <w:tcPr>
            <w:tcW w:w="1260" w:type="dxa"/>
            <w:vMerge w:val="restart"/>
          </w:tcPr>
          <w:p w14:paraId="48BEF8F8" w14:textId="77777777" w:rsidR="00C92E14" w:rsidRPr="00937662" w:rsidRDefault="00C92E14" w:rsidP="00C92E14">
            <w:r w:rsidRPr="00937662">
              <w:t>Cilësia e ujit</w:t>
            </w:r>
          </w:p>
          <w:p w14:paraId="61622E83" w14:textId="77777777" w:rsidR="00C92E14" w:rsidRPr="00937662" w:rsidRDefault="00C92E14" w:rsidP="00C92E14"/>
          <w:p w14:paraId="0E9F516D" w14:textId="77777777" w:rsidR="00C92E14" w:rsidRPr="00937662" w:rsidRDefault="00C92E14" w:rsidP="00C92E14"/>
          <w:p w14:paraId="1103836A" w14:textId="77777777" w:rsidR="00C92E14" w:rsidRPr="00937662" w:rsidRDefault="00C92E14" w:rsidP="00C92E14"/>
          <w:p w14:paraId="4ED5318E" w14:textId="77777777" w:rsidR="00C92E14" w:rsidRPr="00937662" w:rsidRDefault="00C92E14" w:rsidP="00C92E14"/>
        </w:tc>
        <w:tc>
          <w:tcPr>
            <w:tcW w:w="2970" w:type="dxa"/>
          </w:tcPr>
          <w:p w14:paraId="63DAE954" w14:textId="77777777" w:rsidR="00C92E14" w:rsidRPr="00937662" w:rsidRDefault="00C92E14" w:rsidP="00C92E14">
            <w:r w:rsidRPr="00937662">
              <w:t>A ndikon opsioni në cilësinë e ujit të ëmbël?</w:t>
            </w:r>
          </w:p>
        </w:tc>
        <w:tc>
          <w:tcPr>
            <w:tcW w:w="720" w:type="dxa"/>
          </w:tcPr>
          <w:p w14:paraId="60362610" w14:textId="77777777" w:rsidR="00C92E14" w:rsidRPr="00937662" w:rsidRDefault="00C92E14" w:rsidP="00C92E14"/>
        </w:tc>
        <w:tc>
          <w:tcPr>
            <w:tcW w:w="720" w:type="dxa"/>
          </w:tcPr>
          <w:p w14:paraId="185F18E5" w14:textId="77777777" w:rsidR="00C92E14" w:rsidRPr="00937662" w:rsidRDefault="00C92E14" w:rsidP="00C92E14">
            <w:r w:rsidRPr="00937662">
              <w:t>x</w:t>
            </w:r>
          </w:p>
        </w:tc>
        <w:tc>
          <w:tcPr>
            <w:tcW w:w="1350" w:type="dxa"/>
          </w:tcPr>
          <w:p w14:paraId="134ABDF2" w14:textId="77777777" w:rsidR="00C92E14" w:rsidRPr="00937662" w:rsidRDefault="00C92E14" w:rsidP="00C92E14"/>
        </w:tc>
        <w:tc>
          <w:tcPr>
            <w:tcW w:w="1260" w:type="dxa"/>
          </w:tcPr>
          <w:p w14:paraId="35659B98" w14:textId="77777777" w:rsidR="00C92E14" w:rsidRPr="00937662" w:rsidRDefault="00C92E14" w:rsidP="00C92E14"/>
        </w:tc>
        <w:tc>
          <w:tcPr>
            <w:tcW w:w="1980" w:type="dxa"/>
          </w:tcPr>
          <w:p w14:paraId="160EF648" w14:textId="77777777" w:rsidR="00C92E14" w:rsidRPr="00937662" w:rsidRDefault="00C92E14" w:rsidP="00C92E14"/>
        </w:tc>
      </w:tr>
      <w:tr w:rsidR="00C92E14" w:rsidRPr="00937662" w14:paraId="251ABF76" w14:textId="77777777" w:rsidTr="009305D6">
        <w:tc>
          <w:tcPr>
            <w:tcW w:w="1260" w:type="dxa"/>
            <w:vMerge/>
          </w:tcPr>
          <w:p w14:paraId="55CF7093" w14:textId="77777777" w:rsidR="00C92E14" w:rsidRPr="00937662" w:rsidRDefault="00C92E14" w:rsidP="00C92E14"/>
        </w:tc>
        <w:tc>
          <w:tcPr>
            <w:tcW w:w="2970" w:type="dxa"/>
          </w:tcPr>
          <w:p w14:paraId="121EA4BA" w14:textId="77777777" w:rsidR="00C92E14" w:rsidRPr="00937662" w:rsidRDefault="00C92E14" w:rsidP="00C92E14">
            <w:r w:rsidRPr="00937662">
              <w:t>A ndikon opsioni në cilësinë e ujërave nëntokësore?</w:t>
            </w:r>
          </w:p>
        </w:tc>
        <w:tc>
          <w:tcPr>
            <w:tcW w:w="720" w:type="dxa"/>
          </w:tcPr>
          <w:p w14:paraId="3CA22792" w14:textId="77777777" w:rsidR="00C92E14" w:rsidRPr="00937662" w:rsidRDefault="00C92E14" w:rsidP="00C92E14"/>
        </w:tc>
        <w:tc>
          <w:tcPr>
            <w:tcW w:w="720" w:type="dxa"/>
          </w:tcPr>
          <w:p w14:paraId="33D4E821" w14:textId="77777777" w:rsidR="00C92E14" w:rsidRPr="00937662" w:rsidRDefault="00C92E14" w:rsidP="00C92E14">
            <w:r w:rsidRPr="00937662">
              <w:t>x</w:t>
            </w:r>
          </w:p>
        </w:tc>
        <w:tc>
          <w:tcPr>
            <w:tcW w:w="1350" w:type="dxa"/>
          </w:tcPr>
          <w:p w14:paraId="09D9F689" w14:textId="77777777" w:rsidR="00C92E14" w:rsidRPr="00937662" w:rsidRDefault="00C92E14" w:rsidP="00C92E14"/>
        </w:tc>
        <w:tc>
          <w:tcPr>
            <w:tcW w:w="1260" w:type="dxa"/>
          </w:tcPr>
          <w:p w14:paraId="09D39042" w14:textId="77777777" w:rsidR="00C92E14" w:rsidRPr="00937662" w:rsidRDefault="00C92E14" w:rsidP="00C92E14"/>
        </w:tc>
        <w:tc>
          <w:tcPr>
            <w:tcW w:w="1980" w:type="dxa"/>
          </w:tcPr>
          <w:p w14:paraId="1451E715" w14:textId="77777777" w:rsidR="00C92E14" w:rsidRPr="00937662" w:rsidRDefault="00C92E14" w:rsidP="00C92E14"/>
        </w:tc>
      </w:tr>
      <w:tr w:rsidR="00C92E14" w:rsidRPr="00937662" w14:paraId="653D19CF" w14:textId="77777777" w:rsidTr="009305D6">
        <w:tc>
          <w:tcPr>
            <w:tcW w:w="1260" w:type="dxa"/>
            <w:vMerge/>
          </w:tcPr>
          <w:p w14:paraId="0E2FD981" w14:textId="77777777" w:rsidR="00C92E14" w:rsidRPr="00937662" w:rsidRDefault="00C92E14" w:rsidP="00C92E14"/>
        </w:tc>
        <w:tc>
          <w:tcPr>
            <w:tcW w:w="2970" w:type="dxa"/>
          </w:tcPr>
          <w:p w14:paraId="5CB7CFDA" w14:textId="77777777" w:rsidR="00C92E14" w:rsidRPr="00937662" w:rsidRDefault="00C92E14" w:rsidP="00C92E14">
            <w:r w:rsidRPr="00937662">
              <w:t>A ndikon opsioni në burimet e ujit të pijshëm?</w:t>
            </w:r>
          </w:p>
        </w:tc>
        <w:tc>
          <w:tcPr>
            <w:tcW w:w="720" w:type="dxa"/>
          </w:tcPr>
          <w:p w14:paraId="12ADBB8F" w14:textId="77777777" w:rsidR="00C92E14" w:rsidRPr="00937662" w:rsidRDefault="00C92E14" w:rsidP="00C92E14"/>
        </w:tc>
        <w:tc>
          <w:tcPr>
            <w:tcW w:w="720" w:type="dxa"/>
          </w:tcPr>
          <w:p w14:paraId="2E011CDD" w14:textId="77777777" w:rsidR="00C92E14" w:rsidRPr="00937662" w:rsidRDefault="00C92E14" w:rsidP="00C92E14">
            <w:r w:rsidRPr="00937662">
              <w:t>x</w:t>
            </w:r>
          </w:p>
        </w:tc>
        <w:tc>
          <w:tcPr>
            <w:tcW w:w="1350" w:type="dxa"/>
          </w:tcPr>
          <w:p w14:paraId="7BBD21CC" w14:textId="77777777" w:rsidR="00C92E14" w:rsidRPr="00937662" w:rsidRDefault="00C92E14" w:rsidP="00C92E14"/>
        </w:tc>
        <w:tc>
          <w:tcPr>
            <w:tcW w:w="1260" w:type="dxa"/>
          </w:tcPr>
          <w:p w14:paraId="21C6954F" w14:textId="77777777" w:rsidR="00C92E14" w:rsidRPr="00937662" w:rsidRDefault="00C92E14" w:rsidP="00C92E14"/>
        </w:tc>
        <w:tc>
          <w:tcPr>
            <w:tcW w:w="1980" w:type="dxa"/>
          </w:tcPr>
          <w:p w14:paraId="5A5AB776" w14:textId="77777777" w:rsidR="00C92E14" w:rsidRPr="00937662" w:rsidRDefault="00C92E14" w:rsidP="00C92E14"/>
        </w:tc>
      </w:tr>
      <w:tr w:rsidR="00C92E14" w:rsidRPr="00937662" w14:paraId="5C849F9D" w14:textId="77777777" w:rsidTr="009305D6">
        <w:tc>
          <w:tcPr>
            <w:tcW w:w="1260" w:type="dxa"/>
            <w:vMerge w:val="restart"/>
          </w:tcPr>
          <w:p w14:paraId="74140246" w14:textId="77777777" w:rsidR="00C92E14" w:rsidRPr="00937662" w:rsidRDefault="00C92E14" w:rsidP="00C92E14">
            <w:r w:rsidRPr="00937662">
              <w:t>Cilësia e tokës dhe përdorimi i tokës</w:t>
            </w:r>
          </w:p>
        </w:tc>
        <w:tc>
          <w:tcPr>
            <w:tcW w:w="2970" w:type="dxa"/>
          </w:tcPr>
          <w:p w14:paraId="3EA81CBC" w14:textId="77777777" w:rsidR="00C92E14" w:rsidRPr="00937662" w:rsidRDefault="00C92E14" w:rsidP="00C92E14">
            <w:r w:rsidRPr="00937662">
              <w:t>A do të ketë ndikim në cilësinë e tokës (siç janë acidifikimi, ndotja, përdorimi i pesticideve ose herbicideve)?</w:t>
            </w:r>
          </w:p>
        </w:tc>
        <w:tc>
          <w:tcPr>
            <w:tcW w:w="720" w:type="dxa"/>
          </w:tcPr>
          <w:p w14:paraId="526321F3" w14:textId="77777777" w:rsidR="00C92E14" w:rsidRPr="00937662" w:rsidRDefault="00C92E14" w:rsidP="00C92E14"/>
        </w:tc>
        <w:tc>
          <w:tcPr>
            <w:tcW w:w="720" w:type="dxa"/>
          </w:tcPr>
          <w:p w14:paraId="401A5652" w14:textId="77777777" w:rsidR="00C92E14" w:rsidRPr="00937662" w:rsidRDefault="00C92E14" w:rsidP="00C92E14">
            <w:r w:rsidRPr="00937662">
              <w:t>x</w:t>
            </w:r>
          </w:p>
        </w:tc>
        <w:tc>
          <w:tcPr>
            <w:tcW w:w="1350" w:type="dxa"/>
          </w:tcPr>
          <w:p w14:paraId="4D6E68F8" w14:textId="77777777" w:rsidR="00C92E14" w:rsidRPr="00937662" w:rsidRDefault="00C92E14" w:rsidP="00C92E14"/>
        </w:tc>
        <w:tc>
          <w:tcPr>
            <w:tcW w:w="1260" w:type="dxa"/>
          </w:tcPr>
          <w:p w14:paraId="1FBDE27D" w14:textId="77777777" w:rsidR="00C92E14" w:rsidRPr="00937662" w:rsidRDefault="00C92E14" w:rsidP="00C92E14"/>
        </w:tc>
        <w:tc>
          <w:tcPr>
            <w:tcW w:w="1980" w:type="dxa"/>
          </w:tcPr>
          <w:p w14:paraId="52A69A91" w14:textId="77777777" w:rsidR="00C92E14" w:rsidRPr="00937662" w:rsidRDefault="00C92E14" w:rsidP="00C92E14"/>
        </w:tc>
      </w:tr>
      <w:tr w:rsidR="00C92E14" w:rsidRPr="00937662" w14:paraId="105773B7" w14:textId="77777777" w:rsidTr="009305D6">
        <w:tc>
          <w:tcPr>
            <w:tcW w:w="1260" w:type="dxa"/>
            <w:vMerge/>
          </w:tcPr>
          <w:p w14:paraId="66EC3C4C" w14:textId="77777777" w:rsidR="00C92E14" w:rsidRPr="00937662" w:rsidRDefault="00C92E14" w:rsidP="00C92E14"/>
        </w:tc>
        <w:tc>
          <w:tcPr>
            <w:tcW w:w="2970" w:type="dxa"/>
          </w:tcPr>
          <w:p w14:paraId="0FD22FE4" w14:textId="77777777" w:rsidR="00C92E14" w:rsidRPr="00937662" w:rsidRDefault="00C92E14" w:rsidP="00C92E14">
            <w:r w:rsidRPr="00937662">
              <w:t>A do të ndikojë në erozionin e tokës?</w:t>
            </w:r>
          </w:p>
        </w:tc>
        <w:tc>
          <w:tcPr>
            <w:tcW w:w="720" w:type="dxa"/>
          </w:tcPr>
          <w:p w14:paraId="0D83F01C" w14:textId="77777777" w:rsidR="00C92E14" w:rsidRPr="00937662" w:rsidRDefault="00C92E14" w:rsidP="00C92E14"/>
        </w:tc>
        <w:tc>
          <w:tcPr>
            <w:tcW w:w="720" w:type="dxa"/>
          </w:tcPr>
          <w:p w14:paraId="199F1114" w14:textId="77777777" w:rsidR="00C92E14" w:rsidRPr="00937662" w:rsidRDefault="00C92E14" w:rsidP="00C92E14">
            <w:r w:rsidRPr="00937662">
              <w:t>x</w:t>
            </w:r>
          </w:p>
        </w:tc>
        <w:tc>
          <w:tcPr>
            <w:tcW w:w="1350" w:type="dxa"/>
          </w:tcPr>
          <w:p w14:paraId="065EFADF" w14:textId="77777777" w:rsidR="00C92E14" w:rsidRPr="00937662" w:rsidRDefault="00C92E14" w:rsidP="00C92E14"/>
        </w:tc>
        <w:tc>
          <w:tcPr>
            <w:tcW w:w="1260" w:type="dxa"/>
          </w:tcPr>
          <w:p w14:paraId="04CADEE2" w14:textId="77777777" w:rsidR="00C92E14" w:rsidRPr="00937662" w:rsidRDefault="00C92E14" w:rsidP="00C92E14"/>
        </w:tc>
        <w:tc>
          <w:tcPr>
            <w:tcW w:w="1980" w:type="dxa"/>
          </w:tcPr>
          <w:p w14:paraId="75D53B78" w14:textId="77777777" w:rsidR="00C92E14" w:rsidRPr="00937662" w:rsidRDefault="00C92E14" w:rsidP="00C92E14"/>
        </w:tc>
      </w:tr>
      <w:tr w:rsidR="00C92E14" w:rsidRPr="00937662" w14:paraId="355B3A83" w14:textId="77777777" w:rsidTr="009305D6">
        <w:tc>
          <w:tcPr>
            <w:tcW w:w="1260" w:type="dxa"/>
            <w:vMerge/>
          </w:tcPr>
          <w:p w14:paraId="05FEF68C" w14:textId="77777777" w:rsidR="00C92E14" w:rsidRPr="00937662" w:rsidRDefault="00C92E14" w:rsidP="00C92E14"/>
        </w:tc>
        <w:tc>
          <w:tcPr>
            <w:tcW w:w="2970" w:type="dxa"/>
          </w:tcPr>
          <w:p w14:paraId="2144FBC7" w14:textId="77777777" w:rsidR="00C92E14" w:rsidRPr="00937662" w:rsidRDefault="00C92E14" w:rsidP="00C92E14">
            <w:r w:rsidRPr="00937662">
              <w:t>A do të humbasë terreni (përmes ndërtimeve, etj.)?</w:t>
            </w:r>
          </w:p>
        </w:tc>
        <w:tc>
          <w:tcPr>
            <w:tcW w:w="720" w:type="dxa"/>
          </w:tcPr>
          <w:p w14:paraId="6E7BCD7E" w14:textId="77777777" w:rsidR="00C92E14" w:rsidRPr="00937662" w:rsidRDefault="00C92E14" w:rsidP="00C92E14"/>
        </w:tc>
        <w:tc>
          <w:tcPr>
            <w:tcW w:w="720" w:type="dxa"/>
          </w:tcPr>
          <w:p w14:paraId="1E875090" w14:textId="77777777" w:rsidR="00C92E14" w:rsidRPr="00937662" w:rsidRDefault="00C92E14" w:rsidP="00C92E14">
            <w:r w:rsidRPr="00937662">
              <w:t>x</w:t>
            </w:r>
          </w:p>
        </w:tc>
        <w:tc>
          <w:tcPr>
            <w:tcW w:w="1350" w:type="dxa"/>
          </w:tcPr>
          <w:p w14:paraId="482A6C78" w14:textId="77777777" w:rsidR="00C92E14" w:rsidRPr="00937662" w:rsidRDefault="00C92E14" w:rsidP="00C92E14"/>
        </w:tc>
        <w:tc>
          <w:tcPr>
            <w:tcW w:w="1260" w:type="dxa"/>
          </w:tcPr>
          <w:p w14:paraId="1E900E5D" w14:textId="77777777" w:rsidR="00C92E14" w:rsidRPr="00937662" w:rsidRDefault="00C92E14" w:rsidP="00C92E14"/>
        </w:tc>
        <w:tc>
          <w:tcPr>
            <w:tcW w:w="1980" w:type="dxa"/>
          </w:tcPr>
          <w:p w14:paraId="1783C64D" w14:textId="77777777" w:rsidR="00C92E14" w:rsidRPr="00937662" w:rsidRDefault="00C92E14" w:rsidP="00C92E14"/>
        </w:tc>
      </w:tr>
      <w:tr w:rsidR="00C92E14" w:rsidRPr="00937662" w14:paraId="15680569" w14:textId="77777777" w:rsidTr="009305D6">
        <w:tc>
          <w:tcPr>
            <w:tcW w:w="1260" w:type="dxa"/>
            <w:vMerge/>
          </w:tcPr>
          <w:p w14:paraId="07E07275" w14:textId="77777777" w:rsidR="00C92E14" w:rsidRPr="00937662" w:rsidRDefault="00C92E14" w:rsidP="00C92E14"/>
        </w:tc>
        <w:tc>
          <w:tcPr>
            <w:tcW w:w="2970" w:type="dxa"/>
          </w:tcPr>
          <w:p w14:paraId="4893B531" w14:textId="77777777" w:rsidR="00C92E14" w:rsidRPr="00937662" w:rsidRDefault="00C92E14" w:rsidP="00C92E14">
            <w:r w:rsidRPr="00937662">
              <w:t>A do të rikuperohet toka (përmes dekontaminimit, etj.)?</w:t>
            </w:r>
          </w:p>
        </w:tc>
        <w:tc>
          <w:tcPr>
            <w:tcW w:w="720" w:type="dxa"/>
          </w:tcPr>
          <w:p w14:paraId="659AE59A" w14:textId="77777777" w:rsidR="00C92E14" w:rsidRPr="00937662" w:rsidRDefault="00C92E14" w:rsidP="00C92E14"/>
        </w:tc>
        <w:tc>
          <w:tcPr>
            <w:tcW w:w="720" w:type="dxa"/>
          </w:tcPr>
          <w:p w14:paraId="026725C2" w14:textId="77777777" w:rsidR="00C92E14" w:rsidRPr="00937662" w:rsidRDefault="00C92E14" w:rsidP="00C92E14">
            <w:r w:rsidRPr="00937662">
              <w:t>x</w:t>
            </w:r>
          </w:p>
        </w:tc>
        <w:tc>
          <w:tcPr>
            <w:tcW w:w="1350" w:type="dxa"/>
          </w:tcPr>
          <w:p w14:paraId="4A202AAA" w14:textId="77777777" w:rsidR="00C92E14" w:rsidRPr="00937662" w:rsidRDefault="00C92E14" w:rsidP="00C92E14"/>
        </w:tc>
        <w:tc>
          <w:tcPr>
            <w:tcW w:w="1260" w:type="dxa"/>
          </w:tcPr>
          <w:p w14:paraId="4F119586" w14:textId="77777777" w:rsidR="00C92E14" w:rsidRPr="00937662" w:rsidRDefault="00C92E14" w:rsidP="00C92E14"/>
        </w:tc>
        <w:tc>
          <w:tcPr>
            <w:tcW w:w="1980" w:type="dxa"/>
          </w:tcPr>
          <w:p w14:paraId="70A21762" w14:textId="77777777" w:rsidR="00C92E14" w:rsidRPr="00937662" w:rsidRDefault="00C92E14" w:rsidP="00C92E14"/>
        </w:tc>
      </w:tr>
      <w:tr w:rsidR="00C92E14" w:rsidRPr="00937662" w14:paraId="52246B75" w14:textId="77777777" w:rsidTr="009305D6">
        <w:tc>
          <w:tcPr>
            <w:tcW w:w="1260" w:type="dxa"/>
            <w:vMerge/>
          </w:tcPr>
          <w:p w14:paraId="52A45BE5" w14:textId="77777777" w:rsidR="00C92E14" w:rsidRPr="00937662" w:rsidRDefault="00C92E14" w:rsidP="00C92E14"/>
        </w:tc>
        <w:tc>
          <w:tcPr>
            <w:tcW w:w="2970" w:type="dxa"/>
          </w:tcPr>
          <w:p w14:paraId="0666365D" w14:textId="77777777" w:rsidR="00C92E14" w:rsidRPr="00937662" w:rsidRDefault="00C92E14" w:rsidP="00C92E14">
            <w:r w:rsidRPr="00937662">
              <w:t>A do të ketë ndonjë ndryshim në përdorimin e tokës (p.sh. nga përdorimi pyjor në përdorim bujqësor ose urban)?</w:t>
            </w:r>
          </w:p>
        </w:tc>
        <w:tc>
          <w:tcPr>
            <w:tcW w:w="720" w:type="dxa"/>
          </w:tcPr>
          <w:p w14:paraId="1A403CEB" w14:textId="77777777" w:rsidR="00C92E14" w:rsidRPr="00937662" w:rsidRDefault="00C92E14" w:rsidP="00C92E14"/>
        </w:tc>
        <w:tc>
          <w:tcPr>
            <w:tcW w:w="720" w:type="dxa"/>
          </w:tcPr>
          <w:p w14:paraId="2D6DC084" w14:textId="77777777" w:rsidR="00C92E14" w:rsidRPr="00937662" w:rsidRDefault="00C92E14" w:rsidP="00C92E14">
            <w:r w:rsidRPr="00937662">
              <w:t>x</w:t>
            </w:r>
          </w:p>
        </w:tc>
        <w:tc>
          <w:tcPr>
            <w:tcW w:w="1350" w:type="dxa"/>
          </w:tcPr>
          <w:p w14:paraId="667F43D2" w14:textId="77777777" w:rsidR="00C92E14" w:rsidRPr="00937662" w:rsidRDefault="00C92E14" w:rsidP="00C92E14"/>
        </w:tc>
        <w:tc>
          <w:tcPr>
            <w:tcW w:w="1260" w:type="dxa"/>
          </w:tcPr>
          <w:p w14:paraId="3B59AE26" w14:textId="77777777" w:rsidR="00C92E14" w:rsidRPr="00937662" w:rsidRDefault="00C92E14" w:rsidP="00C92E14"/>
        </w:tc>
        <w:tc>
          <w:tcPr>
            <w:tcW w:w="1980" w:type="dxa"/>
          </w:tcPr>
          <w:p w14:paraId="7A7ABFFE" w14:textId="77777777" w:rsidR="00C92E14" w:rsidRPr="00937662" w:rsidRDefault="00C92E14" w:rsidP="00C92E14"/>
        </w:tc>
      </w:tr>
      <w:tr w:rsidR="00C92E14" w:rsidRPr="00937662" w14:paraId="14FC47C9" w14:textId="77777777" w:rsidTr="009305D6">
        <w:tc>
          <w:tcPr>
            <w:tcW w:w="1260" w:type="dxa"/>
            <w:vMerge w:val="restart"/>
          </w:tcPr>
          <w:p w14:paraId="5A3B4ED4" w14:textId="77777777" w:rsidR="00C92E14" w:rsidRPr="00937662" w:rsidRDefault="00C92E14" w:rsidP="00C92E14">
            <w:r w:rsidRPr="00937662">
              <w:t>Mbeturinat dhe riciklimi</w:t>
            </w:r>
          </w:p>
        </w:tc>
        <w:tc>
          <w:tcPr>
            <w:tcW w:w="2970" w:type="dxa"/>
          </w:tcPr>
          <w:p w14:paraId="304C075D" w14:textId="77777777" w:rsidR="00C92E14" w:rsidRPr="00937662" w:rsidRDefault="00C92E14" w:rsidP="00C92E14">
            <w:r w:rsidRPr="00937662">
              <w:t>A do të ndryshojë sasia e mbeturinave të krijuara?</w:t>
            </w:r>
          </w:p>
        </w:tc>
        <w:tc>
          <w:tcPr>
            <w:tcW w:w="720" w:type="dxa"/>
          </w:tcPr>
          <w:p w14:paraId="6FC34749" w14:textId="77777777" w:rsidR="00C92E14" w:rsidRPr="00937662" w:rsidRDefault="00C92E14" w:rsidP="00C92E14"/>
        </w:tc>
        <w:tc>
          <w:tcPr>
            <w:tcW w:w="720" w:type="dxa"/>
          </w:tcPr>
          <w:p w14:paraId="3192A6D1" w14:textId="77777777" w:rsidR="00C92E14" w:rsidRPr="00937662" w:rsidRDefault="00C92E14" w:rsidP="00C92E14">
            <w:r w:rsidRPr="00937662">
              <w:t>x</w:t>
            </w:r>
          </w:p>
        </w:tc>
        <w:tc>
          <w:tcPr>
            <w:tcW w:w="1350" w:type="dxa"/>
          </w:tcPr>
          <w:p w14:paraId="62167DF6" w14:textId="77777777" w:rsidR="00C92E14" w:rsidRPr="00937662" w:rsidRDefault="00C92E14" w:rsidP="00C92E14"/>
        </w:tc>
        <w:tc>
          <w:tcPr>
            <w:tcW w:w="1260" w:type="dxa"/>
          </w:tcPr>
          <w:p w14:paraId="13EB1EA3" w14:textId="77777777" w:rsidR="00C92E14" w:rsidRPr="00937662" w:rsidRDefault="00C92E14" w:rsidP="00C92E14"/>
        </w:tc>
        <w:tc>
          <w:tcPr>
            <w:tcW w:w="1980" w:type="dxa"/>
          </w:tcPr>
          <w:p w14:paraId="3E0305A4" w14:textId="77777777" w:rsidR="00C92E14" w:rsidRPr="00937662" w:rsidRDefault="00C92E14" w:rsidP="00C92E14"/>
        </w:tc>
      </w:tr>
      <w:tr w:rsidR="00C92E14" w:rsidRPr="00937662" w14:paraId="02ED4244" w14:textId="77777777" w:rsidTr="009305D6">
        <w:tc>
          <w:tcPr>
            <w:tcW w:w="1260" w:type="dxa"/>
            <w:vMerge/>
          </w:tcPr>
          <w:p w14:paraId="2D5AB061" w14:textId="77777777" w:rsidR="00C92E14" w:rsidRPr="00937662" w:rsidRDefault="00C92E14" w:rsidP="00C92E14"/>
        </w:tc>
        <w:tc>
          <w:tcPr>
            <w:tcW w:w="2970" w:type="dxa"/>
          </w:tcPr>
          <w:p w14:paraId="0B2D4239" w14:textId="77777777" w:rsidR="00C92E14" w:rsidRPr="00937662" w:rsidRDefault="00C92E14" w:rsidP="00C92E14">
            <w:r w:rsidRPr="00937662">
              <w:t>A do të ndryshojnë mënyrat e trajtimit të mbeturinave?</w:t>
            </w:r>
          </w:p>
        </w:tc>
        <w:tc>
          <w:tcPr>
            <w:tcW w:w="720" w:type="dxa"/>
          </w:tcPr>
          <w:p w14:paraId="62523509" w14:textId="77777777" w:rsidR="00C92E14" w:rsidRPr="00937662" w:rsidRDefault="00C92E14" w:rsidP="00C92E14"/>
        </w:tc>
        <w:tc>
          <w:tcPr>
            <w:tcW w:w="720" w:type="dxa"/>
          </w:tcPr>
          <w:p w14:paraId="06C97A2E" w14:textId="77777777" w:rsidR="00C92E14" w:rsidRPr="00937662" w:rsidRDefault="00C92E14" w:rsidP="00C92E14">
            <w:r w:rsidRPr="00937662">
              <w:t>x</w:t>
            </w:r>
          </w:p>
        </w:tc>
        <w:tc>
          <w:tcPr>
            <w:tcW w:w="1350" w:type="dxa"/>
          </w:tcPr>
          <w:p w14:paraId="7A60FD5D" w14:textId="77777777" w:rsidR="00C92E14" w:rsidRPr="00937662" w:rsidRDefault="00C92E14" w:rsidP="00C92E14"/>
        </w:tc>
        <w:tc>
          <w:tcPr>
            <w:tcW w:w="1260" w:type="dxa"/>
          </w:tcPr>
          <w:p w14:paraId="75E4E400" w14:textId="77777777" w:rsidR="00C92E14" w:rsidRPr="00937662" w:rsidRDefault="00C92E14" w:rsidP="00C92E14"/>
        </w:tc>
        <w:tc>
          <w:tcPr>
            <w:tcW w:w="1980" w:type="dxa"/>
          </w:tcPr>
          <w:p w14:paraId="690BC0B8" w14:textId="77777777" w:rsidR="00C92E14" w:rsidRPr="00937662" w:rsidRDefault="00C92E14" w:rsidP="00C92E14"/>
        </w:tc>
      </w:tr>
      <w:tr w:rsidR="00C92E14" w:rsidRPr="00937662" w14:paraId="5E7BE8F0" w14:textId="77777777" w:rsidTr="009305D6">
        <w:tc>
          <w:tcPr>
            <w:tcW w:w="1260" w:type="dxa"/>
            <w:vMerge/>
          </w:tcPr>
          <w:p w14:paraId="6313E200" w14:textId="77777777" w:rsidR="00C92E14" w:rsidRPr="00937662" w:rsidRDefault="00C92E14" w:rsidP="00C92E14"/>
        </w:tc>
        <w:tc>
          <w:tcPr>
            <w:tcW w:w="2970" w:type="dxa"/>
          </w:tcPr>
          <w:p w14:paraId="0CD1F5CB" w14:textId="77777777" w:rsidR="00C92E14" w:rsidRPr="00937662" w:rsidRDefault="00C92E14" w:rsidP="00C92E14">
            <w:r w:rsidRPr="00937662">
              <w:t xml:space="preserve">A do të ketë ndikim në mundësinë për </w:t>
            </w:r>
            <w:proofErr w:type="spellStart"/>
            <w:r w:rsidRPr="00937662">
              <w:t>reciklimin</w:t>
            </w:r>
            <w:proofErr w:type="spellEnd"/>
            <w:r w:rsidRPr="00937662">
              <w:t xml:space="preserve"> e mbeturinave?</w:t>
            </w:r>
          </w:p>
        </w:tc>
        <w:tc>
          <w:tcPr>
            <w:tcW w:w="720" w:type="dxa"/>
          </w:tcPr>
          <w:p w14:paraId="6DCF246A" w14:textId="77777777" w:rsidR="00C92E14" w:rsidRPr="00937662" w:rsidRDefault="00C92E14" w:rsidP="00C92E14"/>
        </w:tc>
        <w:tc>
          <w:tcPr>
            <w:tcW w:w="720" w:type="dxa"/>
          </w:tcPr>
          <w:p w14:paraId="3EB4F523" w14:textId="77777777" w:rsidR="00C92E14" w:rsidRPr="00937662" w:rsidRDefault="00C92E14" w:rsidP="00C92E14">
            <w:r w:rsidRPr="00937662">
              <w:t>x</w:t>
            </w:r>
          </w:p>
        </w:tc>
        <w:tc>
          <w:tcPr>
            <w:tcW w:w="1350" w:type="dxa"/>
          </w:tcPr>
          <w:p w14:paraId="3F2D18A8" w14:textId="77777777" w:rsidR="00C92E14" w:rsidRPr="00937662" w:rsidRDefault="00C92E14" w:rsidP="00C92E14"/>
        </w:tc>
        <w:tc>
          <w:tcPr>
            <w:tcW w:w="1260" w:type="dxa"/>
          </w:tcPr>
          <w:p w14:paraId="4017AFCF" w14:textId="77777777" w:rsidR="00C92E14" w:rsidRPr="00937662" w:rsidRDefault="00C92E14" w:rsidP="00C92E14"/>
        </w:tc>
        <w:tc>
          <w:tcPr>
            <w:tcW w:w="1980" w:type="dxa"/>
          </w:tcPr>
          <w:p w14:paraId="67C07CAD" w14:textId="77777777" w:rsidR="00C92E14" w:rsidRPr="00937662" w:rsidRDefault="00C92E14" w:rsidP="00C92E14"/>
        </w:tc>
      </w:tr>
      <w:tr w:rsidR="00C92E14" w:rsidRPr="00937662" w14:paraId="06511508" w14:textId="77777777" w:rsidTr="009305D6">
        <w:tc>
          <w:tcPr>
            <w:tcW w:w="1260" w:type="dxa"/>
            <w:vMerge w:val="restart"/>
          </w:tcPr>
          <w:p w14:paraId="52A43533" w14:textId="77777777" w:rsidR="00C92E14" w:rsidRPr="00937662" w:rsidRDefault="00C92E14" w:rsidP="00C92E14">
            <w:r w:rsidRPr="00937662">
              <w:t>Përdorimi i burimeve</w:t>
            </w:r>
          </w:p>
        </w:tc>
        <w:tc>
          <w:tcPr>
            <w:tcW w:w="2970" w:type="dxa"/>
          </w:tcPr>
          <w:p w14:paraId="0099C298" w14:textId="77777777" w:rsidR="00C92E14" w:rsidRPr="00937662" w:rsidRDefault="00C92E14" w:rsidP="00C92E14">
            <w:r w:rsidRPr="00937662">
              <w:t xml:space="preserve">A ndikon opsioni në përdorimin e burimeve të </w:t>
            </w:r>
            <w:proofErr w:type="spellStart"/>
            <w:r w:rsidRPr="00937662">
              <w:t>ripërtëritshme</w:t>
            </w:r>
            <w:proofErr w:type="spellEnd"/>
            <w:r w:rsidRPr="00937662">
              <w:t xml:space="preserve"> (rezervat e peshkut, energjia hidrike, energjia diellore, etj.)?</w:t>
            </w:r>
          </w:p>
        </w:tc>
        <w:tc>
          <w:tcPr>
            <w:tcW w:w="720" w:type="dxa"/>
          </w:tcPr>
          <w:p w14:paraId="25CAE543" w14:textId="77777777" w:rsidR="00C92E14" w:rsidRPr="00937662" w:rsidRDefault="00C92E14" w:rsidP="00C92E14"/>
        </w:tc>
        <w:tc>
          <w:tcPr>
            <w:tcW w:w="720" w:type="dxa"/>
          </w:tcPr>
          <w:p w14:paraId="73C9FCFA" w14:textId="77777777" w:rsidR="00C92E14" w:rsidRPr="00937662" w:rsidRDefault="00C92E14" w:rsidP="00C92E14">
            <w:r w:rsidRPr="00937662">
              <w:t>x</w:t>
            </w:r>
          </w:p>
        </w:tc>
        <w:tc>
          <w:tcPr>
            <w:tcW w:w="1350" w:type="dxa"/>
          </w:tcPr>
          <w:p w14:paraId="26FAECA9" w14:textId="77777777" w:rsidR="00C92E14" w:rsidRPr="00937662" w:rsidRDefault="00C92E14" w:rsidP="00C92E14"/>
        </w:tc>
        <w:tc>
          <w:tcPr>
            <w:tcW w:w="1260" w:type="dxa"/>
          </w:tcPr>
          <w:p w14:paraId="0355C592" w14:textId="77777777" w:rsidR="00C92E14" w:rsidRPr="00937662" w:rsidRDefault="00C92E14" w:rsidP="00C92E14"/>
        </w:tc>
        <w:tc>
          <w:tcPr>
            <w:tcW w:w="1980" w:type="dxa"/>
          </w:tcPr>
          <w:p w14:paraId="0C893208" w14:textId="77777777" w:rsidR="00C92E14" w:rsidRPr="00937662" w:rsidRDefault="00C92E14" w:rsidP="00C92E14"/>
        </w:tc>
      </w:tr>
      <w:tr w:rsidR="00C92E14" w:rsidRPr="00937662" w14:paraId="6EFE5794" w14:textId="77777777" w:rsidTr="009305D6">
        <w:tc>
          <w:tcPr>
            <w:tcW w:w="1260" w:type="dxa"/>
            <w:vMerge/>
          </w:tcPr>
          <w:p w14:paraId="6FA08941" w14:textId="77777777" w:rsidR="00C92E14" w:rsidRPr="00937662" w:rsidRDefault="00C92E14" w:rsidP="00C92E14"/>
        </w:tc>
        <w:tc>
          <w:tcPr>
            <w:tcW w:w="2970" w:type="dxa"/>
          </w:tcPr>
          <w:p w14:paraId="7CBE6909" w14:textId="77777777" w:rsidR="00C92E14" w:rsidRPr="00937662" w:rsidRDefault="00C92E14" w:rsidP="00C92E14">
            <w:r w:rsidRPr="00937662">
              <w:t xml:space="preserve">A ndikon opsioni në përdorimin e burimeve jo të </w:t>
            </w:r>
            <w:proofErr w:type="spellStart"/>
            <w:r w:rsidRPr="00937662">
              <w:t>ripërtëritshme</w:t>
            </w:r>
            <w:proofErr w:type="spellEnd"/>
            <w:r w:rsidRPr="00937662">
              <w:t xml:space="preserve"> (ujërat nëntokësore, mineralet, qymyri, etj.)?</w:t>
            </w:r>
          </w:p>
        </w:tc>
        <w:tc>
          <w:tcPr>
            <w:tcW w:w="720" w:type="dxa"/>
          </w:tcPr>
          <w:p w14:paraId="2FD08A29" w14:textId="77777777" w:rsidR="00C92E14" w:rsidRPr="00937662" w:rsidRDefault="00C92E14" w:rsidP="00C92E14"/>
        </w:tc>
        <w:tc>
          <w:tcPr>
            <w:tcW w:w="720" w:type="dxa"/>
          </w:tcPr>
          <w:p w14:paraId="6E512587" w14:textId="77777777" w:rsidR="00C92E14" w:rsidRPr="00937662" w:rsidRDefault="00C92E14" w:rsidP="00C92E14">
            <w:r w:rsidRPr="00937662">
              <w:t>x</w:t>
            </w:r>
          </w:p>
        </w:tc>
        <w:tc>
          <w:tcPr>
            <w:tcW w:w="1350" w:type="dxa"/>
          </w:tcPr>
          <w:p w14:paraId="3A1995B1" w14:textId="77777777" w:rsidR="00C92E14" w:rsidRPr="00937662" w:rsidRDefault="00C92E14" w:rsidP="00C92E14"/>
        </w:tc>
        <w:tc>
          <w:tcPr>
            <w:tcW w:w="1260" w:type="dxa"/>
          </w:tcPr>
          <w:p w14:paraId="029085A4" w14:textId="77777777" w:rsidR="00C92E14" w:rsidRPr="00937662" w:rsidRDefault="00C92E14" w:rsidP="00C92E14"/>
        </w:tc>
        <w:tc>
          <w:tcPr>
            <w:tcW w:w="1980" w:type="dxa"/>
          </w:tcPr>
          <w:p w14:paraId="7D638BFD" w14:textId="77777777" w:rsidR="00C92E14" w:rsidRPr="00937662" w:rsidRDefault="00C92E14" w:rsidP="00C92E14"/>
        </w:tc>
      </w:tr>
      <w:tr w:rsidR="00C92E14" w:rsidRPr="00937662" w14:paraId="3013BAB9" w14:textId="77777777" w:rsidTr="009305D6">
        <w:tc>
          <w:tcPr>
            <w:tcW w:w="1260" w:type="dxa"/>
            <w:vMerge w:val="restart"/>
          </w:tcPr>
          <w:p w14:paraId="2E72C479" w14:textId="77777777" w:rsidR="00C92E14" w:rsidRPr="00937662" w:rsidRDefault="00C92E14" w:rsidP="00C92E14">
            <w:r w:rsidRPr="00937662">
              <w:t>Shkalla e rreziqeve mjedisore</w:t>
            </w:r>
          </w:p>
        </w:tc>
        <w:tc>
          <w:tcPr>
            <w:tcW w:w="2970" w:type="dxa"/>
          </w:tcPr>
          <w:p w14:paraId="03E82B9B" w14:textId="77777777" w:rsidR="00C92E14" w:rsidRPr="00937662" w:rsidRDefault="00C92E14" w:rsidP="00C92E14">
            <w:r w:rsidRPr="00937662">
              <w:t>A do të ketë ndonjë efekt në gjasat e rreziqeve, të tilla si zjarre, shpërthime ose aksidente?</w:t>
            </w:r>
          </w:p>
        </w:tc>
        <w:tc>
          <w:tcPr>
            <w:tcW w:w="720" w:type="dxa"/>
          </w:tcPr>
          <w:p w14:paraId="7CDD7E05" w14:textId="46F96D17" w:rsidR="00C92E14" w:rsidRPr="00937662" w:rsidRDefault="00C92E14" w:rsidP="00C92E14"/>
        </w:tc>
        <w:tc>
          <w:tcPr>
            <w:tcW w:w="720" w:type="dxa"/>
          </w:tcPr>
          <w:p w14:paraId="5838862B" w14:textId="265FDEF7" w:rsidR="00C92E14" w:rsidRPr="00937662" w:rsidRDefault="0090278E" w:rsidP="00C92E14">
            <w:r>
              <w:t>x</w:t>
            </w:r>
          </w:p>
        </w:tc>
        <w:tc>
          <w:tcPr>
            <w:tcW w:w="1350" w:type="dxa"/>
          </w:tcPr>
          <w:p w14:paraId="0B7FFF4F" w14:textId="77777777" w:rsidR="00C92E14" w:rsidRPr="00937662" w:rsidRDefault="00C92E14" w:rsidP="00C92E14">
            <w:r w:rsidRPr="00937662">
              <w:t>E ulët</w:t>
            </w:r>
          </w:p>
        </w:tc>
        <w:tc>
          <w:tcPr>
            <w:tcW w:w="1260" w:type="dxa"/>
          </w:tcPr>
          <w:p w14:paraId="48722B74" w14:textId="77777777" w:rsidR="00C92E14" w:rsidRPr="00937662" w:rsidRDefault="00C92E14" w:rsidP="00C92E14">
            <w:r w:rsidRPr="00937662">
              <w:t>E ulët</w:t>
            </w:r>
          </w:p>
        </w:tc>
        <w:tc>
          <w:tcPr>
            <w:tcW w:w="1980" w:type="dxa"/>
          </w:tcPr>
          <w:p w14:paraId="5EF9CBFE" w14:textId="77777777" w:rsidR="00C92E14" w:rsidRPr="00937662" w:rsidRDefault="00C92E14" w:rsidP="00C92E14"/>
        </w:tc>
      </w:tr>
      <w:tr w:rsidR="00C92E14" w:rsidRPr="00937662" w14:paraId="4DE4D3B5" w14:textId="77777777" w:rsidTr="009305D6">
        <w:tc>
          <w:tcPr>
            <w:tcW w:w="1260" w:type="dxa"/>
            <w:vMerge/>
          </w:tcPr>
          <w:p w14:paraId="7FEF10D0" w14:textId="77777777" w:rsidR="00C92E14" w:rsidRPr="00937662" w:rsidRDefault="00C92E14" w:rsidP="00C92E14"/>
        </w:tc>
        <w:tc>
          <w:tcPr>
            <w:tcW w:w="2970" w:type="dxa"/>
          </w:tcPr>
          <w:p w14:paraId="1164F1F4" w14:textId="77777777" w:rsidR="00C92E14" w:rsidRPr="00937662" w:rsidRDefault="00C92E14" w:rsidP="00C92E14">
            <w:r w:rsidRPr="00937662">
              <w:t>A do të ndikojë opsioni në gatishmërinë në rast të katastrofave natyrore?</w:t>
            </w:r>
          </w:p>
          <w:p w14:paraId="68A2D0D1" w14:textId="77777777" w:rsidR="00C92E14" w:rsidRPr="00937662" w:rsidRDefault="00C92E14" w:rsidP="00C92E14">
            <w:r w:rsidRPr="00937662">
              <w:t>A preket mbrojtja e shoqërisë nga katastrofat natyrore?</w:t>
            </w:r>
          </w:p>
        </w:tc>
        <w:tc>
          <w:tcPr>
            <w:tcW w:w="720" w:type="dxa"/>
          </w:tcPr>
          <w:p w14:paraId="4931BE16" w14:textId="77777777" w:rsidR="00C92E14" w:rsidRPr="00937662" w:rsidRDefault="00C92E14" w:rsidP="00C92E14"/>
        </w:tc>
        <w:tc>
          <w:tcPr>
            <w:tcW w:w="720" w:type="dxa"/>
          </w:tcPr>
          <w:p w14:paraId="14563BDE" w14:textId="77777777" w:rsidR="00C92E14" w:rsidRPr="00937662" w:rsidRDefault="00C92E14" w:rsidP="00C92E14">
            <w:r w:rsidRPr="00937662">
              <w:t>x</w:t>
            </w:r>
          </w:p>
        </w:tc>
        <w:tc>
          <w:tcPr>
            <w:tcW w:w="1350" w:type="dxa"/>
          </w:tcPr>
          <w:p w14:paraId="4B438060" w14:textId="77777777" w:rsidR="00C92E14" w:rsidRPr="00937662" w:rsidRDefault="00C92E14" w:rsidP="00C92E14"/>
        </w:tc>
        <w:tc>
          <w:tcPr>
            <w:tcW w:w="1260" w:type="dxa"/>
          </w:tcPr>
          <w:p w14:paraId="77A0BCB6" w14:textId="77777777" w:rsidR="00C92E14" w:rsidRPr="00937662" w:rsidRDefault="00C92E14" w:rsidP="00C92E14"/>
        </w:tc>
        <w:tc>
          <w:tcPr>
            <w:tcW w:w="1980" w:type="dxa"/>
          </w:tcPr>
          <w:p w14:paraId="6C748A26" w14:textId="77777777" w:rsidR="00C92E14" w:rsidRPr="00937662" w:rsidRDefault="00C92E14" w:rsidP="00C92E14"/>
        </w:tc>
      </w:tr>
      <w:tr w:rsidR="00C92E14" w:rsidRPr="00937662" w14:paraId="60C4B6C8" w14:textId="77777777" w:rsidTr="009305D6">
        <w:tc>
          <w:tcPr>
            <w:tcW w:w="1260" w:type="dxa"/>
            <w:vMerge/>
          </w:tcPr>
          <w:p w14:paraId="5E9AA2FD" w14:textId="77777777" w:rsidR="00C92E14" w:rsidRPr="00937662" w:rsidRDefault="00C92E14" w:rsidP="00C92E14"/>
        </w:tc>
        <w:tc>
          <w:tcPr>
            <w:tcW w:w="2970" w:type="dxa"/>
          </w:tcPr>
          <w:p w14:paraId="6D6BB4C0" w14:textId="77777777" w:rsidR="00C92E14" w:rsidRPr="00937662" w:rsidRDefault="00C92E14" w:rsidP="00C92E14">
            <w:r w:rsidRPr="00937662">
              <w:t>A do të ketë ndikim në speciet e mbrojtura ose të rrezikuara ose në zonat ku ata jetojnë?</w:t>
            </w:r>
          </w:p>
        </w:tc>
        <w:tc>
          <w:tcPr>
            <w:tcW w:w="720" w:type="dxa"/>
          </w:tcPr>
          <w:p w14:paraId="580218B8" w14:textId="77777777" w:rsidR="00C92E14" w:rsidRPr="00937662" w:rsidRDefault="00C92E14" w:rsidP="00C92E14"/>
        </w:tc>
        <w:tc>
          <w:tcPr>
            <w:tcW w:w="720" w:type="dxa"/>
          </w:tcPr>
          <w:p w14:paraId="637B2521" w14:textId="77777777" w:rsidR="00C92E14" w:rsidRPr="00937662" w:rsidRDefault="00C92E14" w:rsidP="00C92E14">
            <w:r w:rsidRPr="00937662">
              <w:t>x</w:t>
            </w:r>
          </w:p>
        </w:tc>
        <w:tc>
          <w:tcPr>
            <w:tcW w:w="1350" w:type="dxa"/>
          </w:tcPr>
          <w:p w14:paraId="064C5E79" w14:textId="77777777" w:rsidR="00C92E14" w:rsidRPr="00937662" w:rsidRDefault="00C92E14" w:rsidP="00C92E14"/>
        </w:tc>
        <w:tc>
          <w:tcPr>
            <w:tcW w:w="1260" w:type="dxa"/>
          </w:tcPr>
          <w:p w14:paraId="3AD1089F" w14:textId="77777777" w:rsidR="00C92E14" w:rsidRPr="00937662" w:rsidRDefault="00C92E14" w:rsidP="00C92E14"/>
        </w:tc>
        <w:tc>
          <w:tcPr>
            <w:tcW w:w="1980" w:type="dxa"/>
          </w:tcPr>
          <w:p w14:paraId="00448C3D" w14:textId="77777777" w:rsidR="00C92E14" w:rsidRPr="00937662" w:rsidRDefault="00C92E14" w:rsidP="00C92E14"/>
        </w:tc>
      </w:tr>
      <w:tr w:rsidR="00C92E14" w:rsidRPr="00937662" w14:paraId="09305A03" w14:textId="77777777" w:rsidTr="009305D6">
        <w:tc>
          <w:tcPr>
            <w:tcW w:w="1260" w:type="dxa"/>
            <w:vMerge w:val="restart"/>
          </w:tcPr>
          <w:p w14:paraId="75A50074" w14:textId="77777777" w:rsidR="00C92E14" w:rsidRPr="00937662" w:rsidRDefault="00C92E14" w:rsidP="00C92E14">
            <w:proofErr w:type="spellStart"/>
            <w:r w:rsidRPr="00937662">
              <w:t>Biodiversiteti</w:t>
            </w:r>
            <w:proofErr w:type="spellEnd"/>
            <w:r w:rsidRPr="00937662">
              <w:t>, flora dhe fauna</w:t>
            </w:r>
          </w:p>
        </w:tc>
        <w:tc>
          <w:tcPr>
            <w:tcW w:w="2970" w:type="dxa"/>
          </w:tcPr>
          <w:p w14:paraId="560F5CA6" w14:textId="77777777" w:rsidR="00C92E14" w:rsidRPr="00937662" w:rsidRDefault="00C92E14" w:rsidP="00C92E14">
            <w:r w:rsidRPr="00937662">
              <w:t>A do të preken madhësia ose lidhjet ndërmjet zonave natyrore?</w:t>
            </w:r>
          </w:p>
        </w:tc>
        <w:tc>
          <w:tcPr>
            <w:tcW w:w="720" w:type="dxa"/>
          </w:tcPr>
          <w:p w14:paraId="2662258C" w14:textId="77777777" w:rsidR="00C92E14" w:rsidRPr="00937662" w:rsidRDefault="00C92E14" w:rsidP="00C92E14"/>
        </w:tc>
        <w:tc>
          <w:tcPr>
            <w:tcW w:w="720" w:type="dxa"/>
          </w:tcPr>
          <w:p w14:paraId="1E472C26" w14:textId="77777777" w:rsidR="00C92E14" w:rsidRPr="00937662" w:rsidRDefault="00C92E14" w:rsidP="00C92E14">
            <w:r w:rsidRPr="00937662">
              <w:t>x</w:t>
            </w:r>
          </w:p>
        </w:tc>
        <w:tc>
          <w:tcPr>
            <w:tcW w:w="1350" w:type="dxa"/>
          </w:tcPr>
          <w:p w14:paraId="2B7581CD" w14:textId="77777777" w:rsidR="00C92E14" w:rsidRPr="00937662" w:rsidRDefault="00C92E14" w:rsidP="00C92E14"/>
        </w:tc>
        <w:tc>
          <w:tcPr>
            <w:tcW w:w="1260" w:type="dxa"/>
          </w:tcPr>
          <w:p w14:paraId="560160B3" w14:textId="77777777" w:rsidR="00C92E14" w:rsidRPr="00937662" w:rsidRDefault="00C92E14" w:rsidP="00C92E14"/>
        </w:tc>
        <w:tc>
          <w:tcPr>
            <w:tcW w:w="1980" w:type="dxa"/>
          </w:tcPr>
          <w:p w14:paraId="0DE79AF5" w14:textId="77777777" w:rsidR="00C92E14" w:rsidRPr="00937662" w:rsidRDefault="00C92E14" w:rsidP="00C92E14"/>
        </w:tc>
      </w:tr>
      <w:tr w:rsidR="00C92E14" w:rsidRPr="00937662" w14:paraId="71E6EDD1" w14:textId="77777777" w:rsidTr="009305D6">
        <w:tc>
          <w:tcPr>
            <w:tcW w:w="1260" w:type="dxa"/>
            <w:vMerge/>
          </w:tcPr>
          <w:p w14:paraId="1EF9D0A0" w14:textId="77777777" w:rsidR="00C92E14" w:rsidRPr="00937662" w:rsidRDefault="00C92E14" w:rsidP="00C92E14"/>
        </w:tc>
        <w:tc>
          <w:tcPr>
            <w:tcW w:w="2970" w:type="dxa"/>
          </w:tcPr>
          <w:p w14:paraId="70C5520E" w14:textId="77777777" w:rsidR="00C92E14" w:rsidRPr="00937662" w:rsidRDefault="00C92E14" w:rsidP="00C92E14">
            <w:r w:rsidRPr="00937662">
              <w:t>A do të ketë ndonjë efekt në numrin e specieve në një zonë të caktuar?</w:t>
            </w:r>
          </w:p>
        </w:tc>
        <w:tc>
          <w:tcPr>
            <w:tcW w:w="720" w:type="dxa"/>
          </w:tcPr>
          <w:p w14:paraId="5CE9CB4F" w14:textId="77777777" w:rsidR="00C92E14" w:rsidRPr="00937662" w:rsidRDefault="00C92E14" w:rsidP="00C92E14"/>
        </w:tc>
        <w:tc>
          <w:tcPr>
            <w:tcW w:w="720" w:type="dxa"/>
          </w:tcPr>
          <w:p w14:paraId="10298904" w14:textId="77777777" w:rsidR="00C92E14" w:rsidRPr="00937662" w:rsidRDefault="00C92E14" w:rsidP="00C92E14">
            <w:r w:rsidRPr="00937662">
              <w:t>x</w:t>
            </w:r>
          </w:p>
        </w:tc>
        <w:tc>
          <w:tcPr>
            <w:tcW w:w="1350" w:type="dxa"/>
          </w:tcPr>
          <w:p w14:paraId="247A26D6" w14:textId="77777777" w:rsidR="00C92E14" w:rsidRPr="00937662" w:rsidRDefault="00C92E14" w:rsidP="00C92E14"/>
        </w:tc>
        <w:tc>
          <w:tcPr>
            <w:tcW w:w="1260" w:type="dxa"/>
          </w:tcPr>
          <w:p w14:paraId="7D30A50C" w14:textId="77777777" w:rsidR="00C92E14" w:rsidRPr="00937662" w:rsidRDefault="00C92E14" w:rsidP="00C92E14"/>
        </w:tc>
        <w:tc>
          <w:tcPr>
            <w:tcW w:w="1980" w:type="dxa"/>
          </w:tcPr>
          <w:p w14:paraId="4E38BE3C" w14:textId="77777777" w:rsidR="00C92E14" w:rsidRPr="00937662" w:rsidRDefault="00C92E14" w:rsidP="00C92E14"/>
        </w:tc>
      </w:tr>
      <w:tr w:rsidR="00C92E14" w:rsidRPr="00937662" w14:paraId="2A76F473" w14:textId="77777777" w:rsidTr="009305D6">
        <w:trPr>
          <w:trHeight w:val="241"/>
        </w:trPr>
        <w:tc>
          <w:tcPr>
            <w:tcW w:w="1260" w:type="dxa"/>
            <w:vMerge/>
          </w:tcPr>
          <w:p w14:paraId="433E6BF4" w14:textId="77777777" w:rsidR="00C92E14" w:rsidRPr="00937662" w:rsidRDefault="00C92E14" w:rsidP="00C92E14"/>
        </w:tc>
        <w:tc>
          <w:tcPr>
            <w:tcW w:w="2970" w:type="dxa"/>
          </w:tcPr>
          <w:p w14:paraId="4CC04163" w14:textId="77777777" w:rsidR="00C92E14" w:rsidRPr="00937662" w:rsidRDefault="00C92E14" w:rsidP="00C92E14">
            <w:r w:rsidRPr="00937662">
              <w:t>A do të ketë ndikim në trajtimin e kafshëve?</w:t>
            </w:r>
          </w:p>
        </w:tc>
        <w:tc>
          <w:tcPr>
            <w:tcW w:w="720" w:type="dxa"/>
          </w:tcPr>
          <w:p w14:paraId="06995354" w14:textId="77777777" w:rsidR="00C92E14" w:rsidRPr="00937662" w:rsidRDefault="00C92E14" w:rsidP="00C92E14"/>
        </w:tc>
        <w:tc>
          <w:tcPr>
            <w:tcW w:w="720" w:type="dxa"/>
          </w:tcPr>
          <w:p w14:paraId="431E6142" w14:textId="77777777" w:rsidR="00C92E14" w:rsidRPr="00937662" w:rsidRDefault="00C92E14" w:rsidP="00C92E14">
            <w:r w:rsidRPr="00937662">
              <w:t>x</w:t>
            </w:r>
          </w:p>
        </w:tc>
        <w:tc>
          <w:tcPr>
            <w:tcW w:w="1350" w:type="dxa"/>
          </w:tcPr>
          <w:p w14:paraId="7F85ED1A" w14:textId="77777777" w:rsidR="00C92E14" w:rsidRPr="00937662" w:rsidRDefault="00C92E14" w:rsidP="00C92E14"/>
        </w:tc>
        <w:tc>
          <w:tcPr>
            <w:tcW w:w="1260" w:type="dxa"/>
          </w:tcPr>
          <w:p w14:paraId="4FE5ED43" w14:textId="77777777" w:rsidR="00C92E14" w:rsidRPr="00937662" w:rsidRDefault="00C92E14" w:rsidP="00C92E14"/>
        </w:tc>
        <w:tc>
          <w:tcPr>
            <w:tcW w:w="1980" w:type="dxa"/>
          </w:tcPr>
          <w:p w14:paraId="42CC160E" w14:textId="77777777" w:rsidR="00C92E14" w:rsidRPr="00937662" w:rsidRDefault="00C92E14" w:rsidP="00C92E14"/>
        </w:tc>
      </w:tr>
      <w:tr w:rsidR="00C92E14" w:rsidRPr="00937662" w14:paraId="6C9371F8" w14:textId="77777777" w:rsidTr="009305D6">
        <w:trPr>
          <w:trHeight w:val="241"/>
        </w:trPr>
        <w:tc>
          <w:tcPr>
            <w:tcW w:w="1260" w:type="dxa"/>
            <w:vMerge w:val="restart"/>
          </w:tcPr>
          <w:p w14:paraId="308C9FB1" w14:textId="77777777" w:rsidR="00C92E14" w:rsidRPr="00937662" w:rsidRDefault="00C92E14" w:rsidP="00C92E14">
            <w:r w:rsidRPr="00937662">
              <w:t>Mirëqenia e kafshëve</w:t>
            </w:r>
          </w:p>
        </w:tc>
        <w:tc>
          <w:tcPr>
            <w:tcW w:w="2970" w:type="dxa"/>
          </w:tcPr>
          <w:p w14:paraId="1DD720D2" w14:textId="77777777" w:rsidR="00C92E14" w:rsidRPr="00937662" w:rsidRDefault="00C92E14" w:rsidP="00C92E14">
            <w:r w:rsidRPr="00937662">
              <w:t>A do të preket shëndeti i kafshëve?</w:t>
            </w:r>
          </w:p>
        </w:tc>
        <w:tc>
          <w:tcPr>
            <w:tcW w:w="720" w:type="dxa"/>
          </w:tcPr>
          <w:p w14:paraId="6112D1C2" w14:textId="77777777" w:rsidR="00C92E14" w:rsidRPr="00937662" w:rsidRDefault="00C92E14" w:rsidP="00C92E14"/>
        </w:tc>
        <w:tc>
          <w:tcPr>
            <w:tcW w:w="720" w:type="dxa"/>
          </w:tcPr>
          <w:p w14:paraId="2A05E588" w14:textId="77777777" w:rsidR="00C92E14" w:rsidRPr="00937662" w:rsidRDefault="00C92E14" w:rsidP="00C92E14">
            <w:r w:rsidRPr="00937662">
              <w:t>x</w:t>
            </w:r>
          </w:p>
        </w:tc>
        <w:tc>
          <w:tcPr>
            <w:tcW w:w="1350" w:type="dxa"/>
          </w:tcPr>
          <w:p w14:paraId="3F435505" w14:textId="77777777" w:rsidR="00C92E14" w:rsidRPr="00937662" w:rsidRDefault="00C92E14" w:rsidP="00C92E14"/>
        </w:tc>
        <w:tc>
          <w:tcPr>
            <w:tcW w:w="1260" w:type="dxa"/>
          </w:tcPr>
          <w:p w14:paraId="152166A7" w14:textId="77777777" w:rsidR="00C92E14" w:rsidRPr="00937662" w:rsidRDefault="00C92E14" w:rsidP="00C92E14"/>
        </w:tc>
        <w:tc>
          <w:tcPr>
            <w:tcW w:w="1980" w:type="dxa"/>
          </w:tcPr>
          <w:p w14:paraId="3D6BD33C" w14:textId="77777777" w:rsidR="00C92E14" w:rsidRPr="00937662" w:rsidRDefault="00C92E14" w:rsidP="00C92E14"/>
        </w:tc>
      </w:tr>
      <w:tr w:rsidR="00C92E14" w:rsidRPr="00937662" w14:paraId="1B79402B" w14:textId="77777777" w:rsidTr="009305D6">
        <w:tc>
          <w:tcPr>
            <w:tcW w:w="1260" w:type="dxa"/>
            <w:vMerge/>
          </w:tcPr>
          <w:p w14:paraId="6F883ABD" w14:textId="77777777" w:rsidR="00C92E14" w:rsidRPr="00937662" w:rsidRDefault="00C92E14" w:rsidP="00C92E14"/>
        </w:tc>
        <w:tc>
          <w:tcPr>
            <w:tcW w:w="2970" w:type="dxa"/>
          </w:tcPr>
          <w:p w14:paraId="58426A68" w14:textId="77777777" w:rsidR="00C92E14" w:rsidRPr="00937662" w:rsidRDefault="00C92E14" w:rsidP="00C92E14">
            <w:r w:rsidRPr="00937662">
              <w:t>A do të preket shëndeti i kafshëve?</w:t>
            </w:r>
          </w:p>
        </w:tc>
        <w:tc>
          <w:tcPr>
            <w:tcW w:w="720" w:type="dxa"/>
          </w:tcPr>
          <w:p w14:paraId="06F8FA77" w14:textId="77777777" w:rsidR="00C92E14" w:rsidRPr="00937662" w:rsidRDefault="00C92E14" w:rsidP="00C92E14"/>
        </w:tc>
        <w:tc>
          <w:tcPr>
            <w:tcW w:w="720" w:type="dxa"/>
          </w:tcPr>
          <w:p w14:paraId="18AD632D" w14:textId="77777777" w:rsidR="00C92E14" w:rsidRPr="00937662" w:rsidRDefault="00C92E14" w:rsidP="00C92E14">
            <w:r w:rsidRPr="00937662">
              <w:t>x</w:t>
            </w:r>
          </w:p>
        </w:tc>
        <w:tc>
          <w:tcPr>
            <w:tcW w:w="1350" w:type="dxa"/>
          </w:tcPr>
          <w:p w14:paraId="4EC274D0" w14:textId="77777777" w:rsidR="00C92E14" w:rsidRPr="00937662" w:rsidRDefault="00C92E14" w:rsidP="00C92E14"/>
        </w:tc>
        <w:tc>
          <w:tcPr>
            <w:tcW w:w="1260" w:type="dxa"/>
          </w:tcPr>
          <w:p w14:paraId="150823A3" w14:textId="77777777" w:rsidR="00C92E14" w:rsidRPr="00937662" w:rsidRDefault="00C92E14" w:rsidP="00C92E14"/>
        </w:tc>
        <w:tc>
          <w:tcPr>
            <w:tcW w:w="1980" w:type="dxa"/>
          </w:tcPr>
          <w:p w14:paraId="744BD00C" w14:textId="77777777" w:rsidR="00C92E14" w:rsidRPr="00937662" w:rsidRDefault="00C92E14" w:rsidP="00C92E14"/>
        </w:tc>
      </w:tr>
      <w:tr w:rsidR="00C92E14" w:rsidRPr="00937662" w14:paraId="1645AF81" w14:textId="77777777" w:rsidTr="009305D6">
        <w:tc>
          <w:tcPr>
            <w:tcW w:w="1260" w:type="dxa"/>
            <w:vMerge/>
          </w:tcPr>
          <w:p w14:paraId="159F6300" w14:textId="77777777" w:rsidR="00C92E14" w:rsidRPr="00937662" w:rsidRDefault="00C92E14" w:rsidP="00C92E14"/>
        </w:tc>
        <w:tc>
          <w:tcPr>
            <w:tcW w:w="2970" w:type="dxa"/>
          </w:tcPr>
          <w:p w14:paraId="1EA5C561" w14:textId="77777777" w:rsidR="00C92E14" w:rsidRPr="00937662" w:rsidRDefault="00C92E14" w:rsidP="00C92E14">
            <w:r w:rsidRPr="00937662">
              <w:t>A do të preket cilësia dhe siguria e ushqimit të kafshëve?</w:t>
            </w:r>
          </w:p>
        </w:tc>
        <w:tc>
          <w:tcPr>
            <w:tcW w:w="720" w:type="dxa"/>
          </w:tcPr>
          <w:p w14:paraId="5891CD90" w14:textId="77777777" w:rsidR="00C92E14" w:rsidRPr="00937662" w:rsidRDefault="00C92E14" w:rsidP="00C92E14"/>
        </w:tc>
        <w:tc>
          <w:tcPr>
            <w:tcW w:w="720" w:type="dxa"/>
          </w:tcPr>
          <w:p w14:paraId="6C87F769" w14:textId="77777777" w:rsidR="00C92E14" w:rsidRPr="00937662" w:rsidRDefault="00C92E14" w:rsidP="00C92E14">
            <w:r w:rsidRPr="00937662">
              <w:t>x</w:t>
            </w:r>
          </w:p>
        </w:tc>
        <w:tc>
          <w:tcPr>
            <w:tcW w:w="1350" w:type="dxa"/>
          </w:tcPr>
          <w:p w14:paraId="372B58C7" w14:textId="77777777" w:rsidR="00C92E14" w:rsidRPr="00937662" w:rsidRDefault="00C92E14" w:rsidP="00C92E14"/>
        </w:tc>
        <w:tc>
          <w:tcPr>
            <w:tcW w:w="1260" w:type="dxa"/>
          </w:tcPr>
          <w:p w14:paraId="14F997D9" w14:textId="77777777" w:rsidR="00C92E14" w:rsidRPr="00937662" w:rsidRDefault="00C92E14" w:rsidP="00C92E14"/>
        </w:tc>
        <w:tc>
          <w:tcPr>
            <w:tcW w:w="1980" w:type="dxa"/>
          </w:tcPr>
          <w:p w14:paraId="4643133C" w14:textId="77777777" w:rsidR="00C92E14" w:rsidRPr="00937662" w:rsidRDefault="00C92E14" w:rsidP="00C92E14"/>
        </w:tc>
      </w:tr>
    </w:tbl>
    <w:p w14:paraId="0A6A9F04" w14:textId="77777777" w:rsidR="00C92E14" w:rsidRPr="00937662" w:rsidRDefault="00C92E14" w:rsidP="00C92E14">
      <w:pPr>
        <w:rPr>
          <w:lang w:val="en-GB"/>
        </w:rPr>
      </w:pPr>
    </w:p>
    <w:p w14:paraId="376303F1" w14:textId="77777777" w:rsidR="00C92E14" w:rsidRPr="00937662" w:rsidRDefault="00C92E14" w:rsidP="00C92E14">
      <w:pPr>
        <w:rPr>
          <w:lang w:val="en-GB"/>
        </w:rPr>
      </w:pPr>
    </w:p>
    <w:p w14:paraId="6C9B03D3" w14:textId="77777777" w:rsidR="00C92E14" w:rsidRPr="00937662" w:rsidRDefault="00C92E14" w:rsidP="006549E0">
      <w:pPr>
        <w:pStyle w:val="Heading1"/>
        <w:rPr>
          <w:sz w:val="28"/>
          <w:szCs w:val="28"/>
        </w:rPr>
      </w:pPr>
      <w:bookmarkStart w:id="40" w:name="_Toc69198238"/>
      <w:r w:rsidRPr="00937662">
        <w:rPr>
          <w:sz w:val="28"/>
          <w:szCs w:val="28"/>
        </w:rPr>
        <w:t>Aneksi 4: Formulari i vlerësimit të ndikimit në të drejtat themelore</w:t>
      </w:r>
      <w:bookmarkEnd w:id="40"/>
    </w:p>
    <w:p w14:paraId="11EE963D" w14:textId="77777777" w:rsidR="00C92E14" w:rsidRPr="00937662" w:rsidRDefault="00C92E14" w:rsidP="00C92E14"/>
    <w:tbl>
      <w:tblPr>
        <w:tblStyle w:val="TableGrid"/>
        <w:tblW w:w="10260" w:type="dxa"/>
        <w:tblInd w:w="-635" w:type="dxa"/>
        <w:tblLayout w:type="fixed"/>
        <w:tblLook w:val="04A0" w:firstRow="1" w:lastRow="0" w:firstColumn="1" w:lastColumn="0" w:noHBand="0" w:noVBand="1"/>
      </w:tblPr>
      <w:tblGrid>
        <w:gridCol w:w="1260"/>
        <w:gridCol w:w="2970"/>
        <w:gridCol w:w="720"/>
        <w:gridCol w:w="810"/>
        <w:gridCol w:w="1260"/>
        <w:gridCol w:w="1260"/>
        <w:gridCol w:w="1980"/>
      </w:tblGrid>
      <w:tr w:rsidR="00C92E14" w:rsidRPr="00937662" w14:paraId="3C615FFA" w14:textId="77777777" w:rsidTr="009305D6">
        <w:tc>
          <w:tcPr>
            <w:tcW w:w="1260" w:type="dxa"/>
            <w:vMerge w:val="restart"/>
          </w:tcPr>
          <w:p w14:paraId="09065AE2" w14:textId="77777777" w:rsidR="00C92E14" w:rsidRPr="00937662" w:rsidRDefault="00C92E14" w:rsidP="00C92E14">
            <w:pPr>
              <w:rPr>
                <w:b/>
              </w:rPr>
            </w:pPr>
            <w:r w:rsidRPr="00937662">
              <w:rPr>
                <w:b/>
              </w:rPr>
              <w:t>Kategoria e ndikimit në të drejtat themelore</w:t>
            </w:r>
          </w:p>
        </w:tc>
        <w:tc>
          <w:tcPr>
            <w:tcW w:w="2970" w:type="dxa"/>
            <w:vMerge w:val="restart"/>
          </w:tcPr>
          <w:p w14:paraId="53D956D5" w14:textId="77777777" w:rsidR="00C92E14" w:rsidRPr="00937662" w:rsidRDefault="00C92E14" w:rsidP="00C92E14">
            <w:pPr>
              <w:rPr>
                <w:b/>
              </w:rPr>
            </w:pPr>
            <w:r w:rsidRPr="00937662">
              <w:rPr>
                <w:b/>
              </w:rPr>
              <w:t>Ndikimi kryesor</w:t>
            </w:r>
          </w:p>
        </w:tc>
        <w:tc>
          <w:tcPr>
            <w:tcW w:w="1530" w:type="dxa"/>
            <w:gridSpan w:val="2"/>
          </w:tcPr>
          <w:p w14:paraId="53E51533" w14:textId="77777777" w:rsidR="00C92E14" w:rsidRPr="00937662" w:rsidRDefault="00C92E14" w:rsidP="00C92E14">
            <w:pPr>
              <w:rPr>
                <w:b/>
              </w:rPr>
            </w:pPr>
            <w:r w:rsidRPr="00937662">
              <w:rPr>
                <w:b/>
              </w:rPr>
              <w:t>A pritet të ndodhë ky ndikim?</w:t>
            </w:r>
          </w:p>
        </w:tc>
        <w:tc>
          <w:tcPr>
            <w:tcW w:w="1260" w:type="dxa"/>
          </w:tcPr>
          <w:p w14:paraId="166B2DFB" w14:textId="77777777" w:rsidR="00C92E14" w:rsidRPr="00937662" w:rsidRDefault="00C92E14" w:rsidP="00C92E14">
            <w:pPr>
              <w:rPr>
                <w:b/>
              </w:rPr>
            </w:pPr>
            <w:r w:rsidRPr="00937662">
              <w:rPr>
                <w:b/>
              </w:rPr>
              <w:t>Numri i organizatave, kompanive dhe / ose individëve të prekur</w:t>
            </w:r>
          </w:p>
        </w:tc>
        <w:tc>
          <w:tcPr>
            <w:tcW w:w="1260" w:type="dxa"/>
          </w:tcPr>
          <w:p w14:paraId="28CFB19A" w14:textId="77777777" w:rsidR="00C92E14" w:rsidRPr="00937662" w:rsidRDefault="00C92E14" w:rsidP="00C92E14">
            <w:pPr>
              <w:rPr>
                <w:b/>
              </w:rPr>
            </w:pPr>
            <w:r w:rsidRPr="00937662">
              <w:rPr>
                <w:b/>
              </w:rPr>
              <w:t>Përfitimi ose kostoja e pritur e ndikimit</w:t>
            </w:r>
          </w:p>
        </w:tc>
        <w:tc>
          <w:tcPr>
            <w:tcW w:w="1980" w:type="dxa"/>
          </w:tcPr>
          <w:p w14:paraId="42DD3C5C" w14:textId="77777777" w:rsidR="00C92E14" w:rsidRPr="00937662" w:rsidRDefault="00C92E14" w:rsidP="00C92E14">
            <w:pPr>
              <w:rPr>
                <w:b/>
              </w:rPr>
            </w:pPr>
            <w:r w:rsidRPr="00937662">
              <w:rPr>
                <w:b/>
              </w:rPr>
              <w:t>Niveli i preferuar i analizës</w:t>
            </w:r>
          </w:p>
        </w:tc>
      </w:tr>
      <w:tr w:rsidR="00C92E14" w:rsidRPr="00937662" w14:paraId="46DC69B6" w14:textId="77777777" w:rsidTr="009305D6">
        <w:tc>
          <w:tcPr>
            <w:tcW w:w="1260" w:type="dxa"/>
            <w:vMerge/>
          </w:tcPr>
          <w:p w14:paraId="7EABC964" w14:textId="77777777" w:rsidR="00C92E14" w:rsidRPr="00937662" w:rsidRDefault="00C92E14" w:rsidP="00C92E14">
            <w:pPr>
              <w:rPr>
                <w:b/>
              </w:rPr>
            </w:pPr>
          </w:p>
        </w:tc>
        <w:tc>
          <w:tcPr>
            <w:tcW w:w="2970" w:type="dxa"/>
            <w:vMerge/>
          </w:tcPr>
          <w:p w14:paraId="1F59FDC9" w14:textId="77777777" w:rsidR="00C92E14" w:rsidRPr="00937662" w:rsidRDefault="00C92E14" w:rsidP="00C92E14">
            <w:pPr>
              <w:rPr>
                <w:b/>
              </w:rPr>
            </w:pPr>
          </w:p>
        </w:tc>
        <w:tc>
          <w:tcPr>
            <w:tcW w:w="720" w:type="dxa"/>
          </w:tcPr>
          <w:p w14:paraId="5A69D69E" w14:textId="77777777" w:rsidR="00C92E14" w:rsidRPr="00937662" w:rsidRDefault="00C92E14" w:rsidP="00C92E14">
            <w:pPr>
              <w:rPr>
                <w:b/>
              </w:rPr>
            </w:pPr>
            <w:r w:rsidRPr="00937662">
              <w:rPr>
                <w:b/>
              </w:rPr>
              <w:t>Po</w:t>
            </w:r>
          </w:p>
        </w:tc>
        <w:tc>
          <w:tcPr>
            <w:tcW w:w="810" w:type="dxa"/>
          </w:tcPr>
          <w:p w14:paraId="295B59FF" w14:textId="77777777" w:rsidR="00C92E14" w:rsidRPr="00937662" w:rsidRDefault="00C92E14" w:rsidP="00C92E14">
            <w:pPr>
              <w:rPr>
                <w:b/>
              </w:rPr>
            </w:pPr>
            <w:r w:rsidRPr="00937662">
              <w:rPr>
                <w:b/>
              </w:rPr>
              <w:t>Jo</w:t>
            </w:r>
          </w:p>
        </w:tc>
        <w:tc>
          <w:tcPr>
            <w:tcW w:w="1260" w:type="dxa"/>
          </w:tcPr>
          <w:p w14:paraId="30984303" w14:textId="77777777" w:rsidR="00C92E14" w:rsidRPr="00937662" w:rsidRDefault="00C92E14" w:rsidP="00C92E14">
            <w:pPr>
              <w:rPr>
                <w:b/>
              </w:rPr>
            </w:pPr>
            <w:r w:rsidRPr="00937662">
              <w:rPr>
                <w:b/>
              </w:rPr>
              <w:t>I lartë / i ulët</w:t>
            </w:r>
          </w:p>
        </w:tc>
        <w:tc>
          <w:tcPr>
            <w:tcW w:w="1260" w:type="dxa"/>
          </w:tcPr>
          <w:p w14:paraId="5C4F867B" w14:textId="77777777" w:rsidR="00C92E14" w:rsidRPr="00937662" w:rsidRDefault="00C92E14" w:rsidP="00C92E14">
            <w:pPr>
              <w:rPr>
                <w:b/>
              </w:rPr>
            </w:pPr>
            <w:r w:rsidRPr="00937662">
              <w:rPr>
                <w:b/>
              </w:rPr>
              <w:t>I lartë / i ulët</w:t>
            </w:r>
          </w:p>
        </w:tc>
        <w:tc>
          <w:tcPr>
            <w:tcW w:w="1980" w:type="dxa"/>
          </w:tcPr>
          <w:p w14:paraId="71E705F5" w14:textId="77777777" w:rsidR="00C92E14" w:rsidRPr="00937662" w:rsidRDefault="00C92E14" w:rsidP="00C92E14">
            <w:pPr>
              <w:rPr>
                <w:b/>
              </w:rPr>
            </w:pPr>
          </w:p>
        </w:tc>
      </w:tr>
      <w:tr w:rsidR="00C92E14" w:rsidRPr="00937662" w14:paraId="1B64CE0B" w14:textId="77777777" w:rsidTr="009305D6">
        <w:tc>
          <w:tcPr>
            <w:tcW w:w="1260" w:type="dxa"/>
          </w:tcPr>
          <w:p w14:paraId="10D03F91" w14:textId="77777777" w:rsidR="00C92E14" w:rsidRPr="00937662" w:rsidRDefault="00C92E14" w:rsidP="00C92E14">
            <w:r w:rsidRPr="00937662">
              <w:t>Dinjiteti</w:t>
            </w:r>
          </w:p>
        </w:tc>
        <w:tc>
          <w:tcPr>
            <w:tcW w:w="2970" w:type="dxa"/>
          </w:tcPr>
          <w:p w14:paraId="202345FD" w14:textId="77777777" w:rsidR="00C92E14" w:rsidRPr="00937662" w:rsidRDefault="00C92E14" w:rsidP="00C92E14">
            <w:r w:rsidRPr="00937662">
              <w:t>A ndikon opsioni në dinjitetin e njerëzve, të drejtën e tyre për jetë apo integritetin e një personi?</w:t>
            </w:r>
          </w:p>
        </w:tc>
        <w:tc>
          <w:tcPr>
            <w:tcW w:w="720" w:type="dxa"/>
          </w:tcPr>
          <w:p w14:paraId="0440CA1D" w14:textId="77777777" w:rsidR="00C92E14" w:rsidRPr="00937662" w:rsidRDefault="00C92E14" w:rsidP="00C92E14"/>
        </w:tc>
        <w:tc>
          <w:tcPr>
            <w:tcW w:w="810" w:type="dxa"/>
          </w:tcPr>
          <w:p w14:paraId="44966DC9" w14:textId="77777777" w:rsidR="00C92E14" w:rsidRPr="00937662" w:rsidRDefault="00C92E14" w:rsidP="00C92E14">
            <w:r w:rsidRPr="00937662">
              <w:t>x</w:t>
            </w:r>
          </w:p>
        </w:tc>
        <w:tc>
          <w:tcPr>
            <w:tcW w:w="1260" w:type="dxa"/>
          </w:tcPr>
          <w:p w14:paraId="59FE9B26" w14:textId="77777777" w:rsidR="00C92E14" w:rsidRPr="00937662" w:rsidRDefault="00C92E14" w:rsidP="00C92E14"/>
        </w:tc>
        <w:tc>
          <w:tcPr>
            <w:tcW w:w="1260" w:type="dxa"/>
          </w:tcPr>
          <w:p w14:paraId="1792E68F" w14:textId="77777777" w:rsidR="00C92E14" w:rsidRPr="00937662" w:rsidRDefault="00C92E14" w:rsidP="00C92E14"/>
        </w:tc>
        <w:tc>
          <w:tcPr>
            <w:tcW w:w="1980" w:type="dxa"/>
          </w:tcPr>
          <w:p w14:paraId="79A3C90C" w14:textId="77777777" w:rsidR="00C92E14" w:rsidRPr="00937662" w:rsidRDefault="00C92E14" w:rsidP="00C92E14"/>
        </w:tc>
      </w:tr>
      <w:tr w:rsidR="00C92E14" w:rsidRPr="00937662" w14:paraId="735E08A1" w14:textId="77777777" w:rsidTr="009305D6">
        <w:tc>
          <w:tcPr>
            <w:tcW w:w="1260" w:type="dxa"/>
            <w:vMerge w:val="restart"/>
          </w:tcPr>
          <w:p w14:paraId="05413911" w14:textId="77777777" w:rsidR="00C92E14" w:rsidRPr="00937662" w:rsidRDefault="00C92E14" w:rsidP="00C92E14">
            <w:r w:rsidRPr="00937662">
              <w:t>Liria</w:t>
            </w:r>
          </w:p>
        </w:tc>
        <w:tc>
          <w:tcPr>
            <w:tcW w:w="2970" w:type="dxa"/>
          </w:tcPr>
          <w:p w14:paraId="3236F614" w14:textId="77777777" w:rsidR="00C92E14" w:rsidRPr="00937662" w:rsidRDefault="00C92E14" w:rsidP="00C92E14">
            <w:r w:rsidRPr="00937662">
              <w:t>A ndikon opsioni në të drejtën e lirisë së individëve?</w:t>
            </w:r>
          </w:p>
        </w:tc>
        <w:tc>
          <w:tcPr>
            <w:tcW w:w="720" w:type="dxa"/>
          </w:tcPr>
          <w:p w14:paraId="018B19E3" w14:textId="77777777" w:rsidR="00C92E14" w:rsidRPr="00937662" w:rsidRDefault="00C92E14" w:rsidP="00C92E14"/>
        </w:tc>
        <w:tc>
          <w:tcPr>
            <w:tcW w:w="810" w:type="dxa"/>
          </w:tcPr>
          <w:p w14:paraId="506CCAEB" w14:textId="77777777" w:rsidR="00C92E14" w:rsidRPr="00937662" w:rsidRDefault="00C92E14" w:rsidP="00C92E14">
            <w:r w:rsidRPr="00937662">
              <w:t>x</w:t>
            </w:r>
          </w:p>
        </w:tc>
        <w:tc>
          <w:tcPr>
            <w:tcW w:w="1260" w:type="dxa"/>
          </w:tcPr>
          <w:p w14:paraId="78B16EB6" w14:textId="77777777" w:rsidR="00C92E14" w:rsidRPr="00937662" w:rsidRDefault="00C92E14" w:rsidP="00C92E14"/>
        </w:tc>
        <w:tc>
          <w:tcPr>
            <w:tcW w:w="1260" w:type="dxa"/>
          </w:tcPr>
          <w:p w14:paraId="49F14383" w14:textId="77777777" w:rsidR="00C92E14" w:rsidRPr="00937662" w:rsidRDefault="00C92E14" w:rsidP="00C92E14"/>
        </w:tc>
        <w:tc>
          <w:tcPr>
            <w:tcW w:w="1980" w:type="dxa"/>
          </w:tcPr>
          <w:p w14:paraId="47B7DB1F" w14:textId="77777777" w:rsidR="00C92E14" w:rsidRPr="00937662" w:rsidRDefault="00C92E14" w:rsidP="00C92E14"/>
        </w:tc>
      </w:tr>
      <w:tr w:rsidR="00C92E14" w:rsidRPr="00937662" w14:paraId="2E52A00F" w14:textId="77777777" w:rsidTr="009305D6">
        <w:tc>
          <w:tcPr>
            <w:tcW w:w="1260" w:type="dxa"/>
            <w:vMerge/>
          </w:tcPr>
          <w:p w14:paraId="797DF68E" w14:textId="77777777" w:rsidR="00C92E14" w:rsidRPr="00937662" w:rsidRDefault="00C92E14" w:rsidP="00C92E14"/>
        </w:tc>
        <w:tc>
          <w:tcPr>
            <w:tcW w:w="2970" w:type="dxa"/>
          </w:tcPr>
          <w:p w14:paraId="70689F57" w14:textId="77777777" w:rsidR="00C92E14" w:rsidRPr="00937662" w:rsidRDefault="00C92E14" w:rsidP="00C92E14">
            <w:r w:rsidRPr="00937662">
              <w:t>A ndikon opsioni i privatësisë në privatësinë e një personi?</w:t>
            </w:r>
          </w:p>
        </w:tc>
        <w:tc>
          <w:tcPr>
            <w:tcW w:w="720" w:type="dxa"/>
          </w:tcPr>
          <w:p w14:paraId="78B5D340" w14:textId="77777777" w:rsidR="00C92E14" w:rsidRPr="00937662" w:rsidRDefault="00C92E14" w:rsidP="00C92E14"/>
        </w:tc>
        <w:tc>
          <w:tcPr>
            <w:tcW w:w="810" w:type="dxa"/>
          </w:tcPr>
          <w:p w14:paraId="727627D2" w14:textId="77777777" w:rsidR="00C92E14" w:rsidRPr="00937662" w:rsidRDefault="00C92E14" w:rsidP="00C92E14">
            <w:r w:rsidRPr="00937662">
              <w:t>x</w:t>
            </w:r>
          </w:p>
        </w:tc>
        <w:tc>
          <w:tcPr>
            <w:tcW w:w="1260" w:type="dxa"/>
          </w:tcPr>
          <w:p w14:paraId="39E2A0F2" w14:textId="77777777" w:rsidR="00C92E14" w:rsidRPr="00937662" w:rsidRDefault="00C92E14" w:rsidP="00C92E14"/>
        </w:tc>
        <w:tc>
          <w:tcPr>
            <w:tcW w:w="1260" w:type="dxa"/>
          </w:tcPr>
          <w:p w14:paraId="46452EEB" w14:textId="77777777" w:rsidR="00C92E14" w:rsidRPr="00937662" w:rsidRDefault="00C92E14" w:rsidP="00C92E14"/>
        </w:tc>
        <w:tc>
          <w:tcPr>
            <w:tcW w:w="1980" w:type="dxa"/>
          </w:tcPr>
          <w:p w14:paraId="6725C064" w14:textId="77777777" w:rsidR="00C92E14" w:rsidRPr="00937662" w:rsidRDefault="00C92E14" w:rsidP="00C92E14"/>
        </w:tc>
      </w:tr>
      <w:tr w:rsidR="00C92E14" w:rsidRPr="00937662" w14:paraId="1515CE91" w14:textId="77777777" w:rsidTr="009305D6">
        <w:tc>
          <w:tcPr>
            <w:tcW w:w="1260" w:type="dxa"/>
            <w:vMerge/>
          </w:tcPr>
          <w:p w14:paraId="32D33039" w14:textId="77777777" w:rsidR="00C92E14" w:rsidRPr="00937662" w:rsidRDefault="00C92E14" w:rsidP="00C92E14"/>
        </w:tc>
        <w:tc>
          <w:tcPr>
            <w:tcW w:w="2970" w:type="dxa"/>
          </w:tcPr>
          <w:p w14:paraId="6AEDCD33" w14:textId="77777777" w:rsidR="00C92E14" w:rsidRPr="00937662" w:rsidRDefault="00C92E14" w:rsidP="00C92E14">
            <w:r w:rsidRPr="00937662">
              <w:t>A ndikon opsioni në të drejtën për t'u martuar apo krijuar një familje?</w:t>
            </w:r>
          </w:p>
        </w:tc>
        <w:tc>
          <w:tcPr>
            <w:tcW w:w="720" w:type="dxa"/>
          </w:tcPr>
          <w:p w14:paraId="3FE61D35" w14:textId="77777777" w:rsidR="00C92E14" w:rsidRPr="00937662" w:rsidRDefault="00C92E14" w:rsidP="00C92E14"/>
        </w:tc>
        <w:tc>
          <w:tcPr>
            <w:tcW w:w="810" w:type="dxa"/>
          </w:tcPr>
          <w:p w14:paraId="79FB4182" w14:textId="77777777" w:rsidR="00C92E14" w:rsidRPr="00937662" w:rsidRDefault="00C92E14" w:rsidP="00C92E14">
            <w:r w:rsidRPr="00937662">
              <w:t>x</w:t>
            </w:r>
          </w:p>
        </w:tc>
        <w:tc>
          <w:tcPr>
            <w:tcW w:w="1260" w:type="dxa"/>
          </w:tcPr>
          <w:p w14:paraId="370D0E77" w14:textId="77777777" w:rsidR="00C92E14" w:rsidRPr="00937662" w:rsidRDefault="00C92E14" w:rsidP="00C92E14"/>
        </w:tc>
        <w:tc>
          <w:tcPr>
            <w:tcW w:w="1260" w:type="dxa"/>
          </w:tcPr>
          <w:p w14:paraId="0AF0B6FD" w14:textId="77777777" w:rsidR="00C92E14" w:rsidRPr="00937662" w:rsidRDefault="00C92E14" w:rsidP="00C92E14"/>
        </w:tc>
        <w:tc>
          <w:tcPr>
            <w:tcW w:w="1980" w:type="dxa"/>
          </w:tcPr>
          <w:p w14:paraId="4FA8AD86" w14:textId="77777777" w:rsidR="00C92E14" w:rsidRPr="00937662" w:rsidRDefault="00C92E14" w:rsidP="00C92E14"/>
        </w:tc>
      </w:tr>
      <w:tr w:rsidR="00C92E14" w:rsidRPr="00937662" w14:paraId="783066E3" w14:textId="77777777" w:rsidTr="009305D6">
        <w:tc>
          <w:tcPr>
            <w:tcW w:w="1260" w:type="dxa"/>
            <w:vMerge/>
          </w:tcPr>
          <w:p w14:paraId="00A23ED6" w14:textId="77777777" w:rsidR="00C92E14" w:rsidRPr="00937662" w:rsidRDefault="00C92E14" w:rsidP="00C92E14"/>
        </w:tc>
        <w:tc>
          <w:tcPr>
            <w:tcW w:w="2970" w:type="dxa"/>
          </w:tcPr>
          <w:p w14:paraId="6B514705" w14:textId="77777777" w:rsidR="00C92E14" w:rsidRPr="00937662" w:rsidRDefault="00C92E14" w:rsidP="00C92E14">
            <w:r w:rsidRPr="00937662">
              <w:t>A ndikon opsioni në mbrojtjen ligjore, ekonomike ose sociale të individëve ose familjes?</w:t>
            </w:r>
          </w:p>
        </w:tc>
        <w:tc>
          <w:tcPr>
            <w:tcW w:w="720" w:type="dxa"/>
          </w:tcPr>
          <w:p w14:paraId="281E7C43" w14:textId="77777777" w:rsidR="00C92E14" w:rsidRPr="00937662" w:rsidRDefault="00C92E14" w:rsidP="00C92E14"/>
        </w:tc>
        <w:tc>
          <w:tcPr>
            <w:tcW w:w="810" w:type="dxa"/>
          </w:tcPr>
          <w:p w14:paraId="3491D581" w14:textId="77777777" w:rsidR="00C92E14" w:rsidRPr="00937662" w:rsidRDefault="00C92E14" w:rsidP="00C92E14">
            <w:r w:rsidRPr="00937662">
              <w:t>x</w:t>
            </w:r>
          </w:p>
        </w:tc>
        <w:tc>
          <w:tcPr>
            <w:tcW w:w="1260" w:type="dxa"/>
          </w:tcPr>
          <w:p w14:paraId="59B8946C" w14:textId="77777777" w:rsidR="00C92E14" w:rsidRPr="00937662" w:rsidRDefault="00C92E14" w:rsidP="00C92E14"/>
        </w:tc>
        <w:tc>
          <w:tcPr>
            <w:tcW w:w="1260" w:type="dxa"/>
          </w:tcPr>
          <w:p w14:paraId="1922D5EB" w14:textId="77777777" w:rsidR="00C92E14" w:rsidRPr="00937662" w:rsidRDefault="00C92E14" w:rsidP="00C92E14"/>
        </w:tc>
        <w:tc>
          <w:tcPr>
            <w:tcW w:w="1980" w:type="dxa"/>
          </w:tcPr>
          <w:p w14:paraId="68755450" w14:textId="77777777" w:rsidR="00C92E14" w:rsidRPr="00937662" w:rsidRDefault="00C92E14" w:rsidP="00C92E14"/>
        </w:tc>
      </w:tr>
      <w:tr w:rsidR="00C92E14" w:rsidRPr="00937662" w14:paraId="5D153AA5" w14:textId="77777777" w:rsidTr="009305D6">
        <w:tc>
          <w:tcPr>
            <w:tcW w:w="1260" w:type="dxa"/>
            <w:vMerge/>
          </w:tcPr>
          <w:p w14:paraId="73E80CE5" w14:textId="77777777" w:rsidR="00C92E14" w:rsidRPr="00937662" w:rsidRDefault="00C92E14" w:rsidP="00C92E14"/>
        </w:tc>
        <w:tc>
          <w:tcPr>
            <w:tcW w:w="2970" w:type="dxa"/>
          </w:tcPr>
          <w:p w14:paraId="2843A5E7" w14:textId="77777777" w:rsidR="00C92E14" w:rsidRPr="00937662" w:rsidRDefault="00C92E14" w:rsidP="00C92E14">
            <w:r w:rsidRPr="00937662">
              <w:t>A ndikon opsioni në lirinë e mendimit, ndërgjegjes apo fesë?</w:t>
            </w:r>
          </w:p>
        </w:tc>
        <w:tc>
          <w:tcPr>
            <w:tcW w:w="720" w:type="dxa"/>
          </w:tcPr>
          <w:p w14:paraId="46405A5F" w14:textId="77777777" w:rsidR="00C92E14" w:rsidRPr="00937662" w:rsidRDefault="00C92E14" w:rsidP="00C92E14"/>
        </w:tc>
        <w:tc>
          <w:tcPr>
            <w:tcW w:w="810" w:type="dxa"/>
          </w:tcPr>
          <w:p w14:paraId="2DD7C4FB" w14:textId="77777777" w:rsidR="00C92E14" w:rsidRPr="00937662" w:rsidRDefault="00C92E14" w:rsidP="00C92E14">
            <w:r w:rsidRPr="00937662">
              <w:t>x</w:t>
            </w:r>
          </w:p>
        </w:tc>
        <w:tc>
          <w:tcPr>
            <w:tcW w:w="1260" w:type="dxa"/>
          </w:tcPr>
          <w:p w14:paraId="49AC9C30" w14:textId="77777777" w:rsidR="00C92E14" w:rsidRPr="00937662" w:rsidRDefault="00C92E14" w:rsidP="00C92E14"/>
        </w:tc>
        <w:tc>
          <w:tcPr>
            <w:tcW w:w="1260" w:type="dxa"/>
          </w:tcPr>
          <w:p w14:paraId="7DF0B074" w14:textId="77777777" w:rsidR="00C92E14" w:rsidRPr="00937662" w:rsidRDefault="00C92E14" w:rsidP="00C92E14"/>
        </w:tc>
        <w:tc>
          <w:tcPr>
            <w:tcW w:w="1980" w:type="dxa"/>
          </w:tcPr>
          <w:p w14:paraId="15AE5C3D" w14:textId="77777777" w:rsidR="00C92E14" w:rsidRPr="00937662" w:rsidRDefault="00C92E14" w:rsidP="00C92E14"/>
        </w:tc>
      </w:tr>
      <w:tr w:rsidR="00C92E14" w:rsidRPr="00937662" w14:paraId="3E9B1E32" w14:textId="77777777" w:rsidTr="009305D6">
        <w:tc>
          <w:tcPr>
            <w:tcW w:w="1260" w:type="dxa"/>
            <w:vMerge/>
          </w:tcPr>
          <w:p w14:paraId="1277A569" w14:textId="77777777" w:rsidR="00C92E14" w:rsidRPr="00937662" w:rsidRDefault="00C92E14" w:rsidP="00C92E14"/>
        </w:tc>
        <w:tc>
          <w:tcPr>
            <w:tcW w:w="2970" w:type="dxa"/>
          </w:tcPr>
          <w:p w14:paraId="13115BFA" w14:textId="77777777" w:rsidR="00C92E14" w:rsidRPr="00937662" w:rsidRDefault="00C92E14" w:rsidP="00C92E14">
            <w:r w:rsidRPr="00937662">
              <w:t>A ndikon në lirinë e shprehjes?</w:t>
            </w:r>
          </w:p>
        </w:tc>
        <w:tc>
          <w:tcPr>
            <w:tcW w:w="720" w:type="dxa"/>
          </w:tcPr>
          <w:p w14:paraId="1C024D74" w14:textId="77777777" w:rsidR="00C92E14" w:rsidRPr="00937662" w:rsidRDefault="00C92E14" w:rsidP="00C92E14"/>
        </w:tc>
        <w:tc>
          <w:tcPr>
            <w:tcW w:w="810" w:type="dxa"/>
          </w:tcPr>
          <w:p w14:paraId="1F62277F" w14:textId="77777777" w:rsidR="00C92E14" w:rsidRPr="00937662" w:rsidRDefault="00C92E14" w:rsidP="00C92E14">
            <w:r w:rsidRPr="00937662">
              <w:t>x</w:t>
            </w:r>
          </w:p>
        </w:tc>
        <w:tc>
          <w:tcPr>
            <w:tcW w:w="1260" w:type="dxa"/>
          </w:tcPr>
          <w:p w14:paraId="1391EA23" w14:textId="77777777" w:rsidR="00C92E14" w:rsidRPr="00937662" w:rsidRDefault="00C92E14" w:rsidP="00C92E14"/>
        </w:tc>
        <w:tc>
          <w:tcPr>
            <w:tcW w:w="1260" w:type="dxa"/>
          </w:tcPr>
          <w:p w14:paraId="5FD000A1" w14:textId="77777777" w:rsidR="00C92E14" w:rsidRPr="00937662" w:rsidRDefault="00C92E14" w:rsidP="00C92E14"/>
        </w:tc>
        <w:tc>
          <w:tcPr>
            <w:tcW w:w="1980" w:type="dxa"/>
          </w:tcPr>
          <w:p w14:paraId="49B4F801" w14:textId="77777777" w:rsidR="00C92E14" w:rsidRPr="00937662" w:rsidRDefault="00C92E14" w:rsidP="00C92E14"/>
        </w:tc>
      </w:tr>
      <w:tr w:rsidR="00C92E14" w:rsidRPr="00937662" w14:paraId="7D1CBAD0" w14:textId="77777777" w:rsidTr="009305D6">
        <w:tc>
          <w:tcPr>
            <w:tcW w:w="1260" w:type="dxa"/>
            <w:vMerge/>
          </w:tcPr>
          <w:p w14:paraId="5FE24A37" w14:textId="77777777" w:rsidR="00C92E14" w:rsidRPr="00937662" w:rsidRDefault="00C92E14" w:rsidP="00C92E14"/>
        </w:tc>
        <w:tc>
          <w:tcPr>
            <w:tcW w:w="2970" w:type="dxa"/>
          </w:tcPr>
          <w:p w14:paraId="074608F5" w14:textId="77777777" w:rsidR="00C92E14" w:rsidRPr="00937662" w:rsidRDefault="00C92E14" w:rsidP="00C92E14">
            <w:r w:rsidRPr="00937662">
              <w:t xml:space="preserve">A ndikon opsioni në lirinë e tubimit apo </w:t>
            </w:r>
            <w:proofErr w:type="spellStart"/>
            <w:r w:rsidRPr="00937662">
              <w:t>asociimit</w:t>
            </w:r>
            <w:proofErr w:type="spellEnd"/>
            <w:r w:rsidRPr="00937662">
              <w:t>?</w:t>
            </w:r>
          </w:p>
        </w:tc>
        <w:tc>
          <w:tcPr>
            <w:tcW w:w="720" w:type="dxa"/>
          </w:tcPr>
          <w:p w14:paraId="24D264D7" w14:textId="77777777" w:rsidR="00C92E14" w:rsidRPr="00937662" w:rsidRDefault="00C92E14" w:rsidP="00C92E14"/>
        </w:tc>
        <w:tc>
          <w:tcPr>
            <w:tcW w:w="810" w:type="dxa"/>
          </w:tcPr>
          <w:p w14:paraId="36734AAC" w14:textId="77777777" w:rsidR="00C92E14" w:rsidRPr="00937662" w:rsidRDefault="00C92E14" w:rsidP="00C92E14">
            <w:r w:rsidRPr="00937662">
              <w:t>x</w:t>
            </w:r>
          </w:p>
        </w:tc>
        <w:tc>
          <w:tcPr>
            <w:tcW w:w="1260" w:type="dxa"/>
          </w:tcPr>
          <w:p w14:paraId="000475AA" w14:textId="77777777" w:rsidR="00C92E14" w:rsidRPr="00937662" w:rsidRDefault="00C92E14" w:rsidP="00C92E14"/>
        </w:tc>
        <w:tc>
          <w:tcPr>
            <w:tcW w:w="1260" w:type="dxa"/>
          </w:tcPr>
          <w:p w14:paraId="4622B1AE" w14:textId="77777777" w:rsidR="00C92E14" w:rsidRPr="00937662" w:rsidRDefault="00C92E14" w:rsidP="00C92E14"/>
        </w:tc>
        <w:tc>
          <w:tcPr>
            <w:tcW w:w="1980" w:type="dxa"/>
          </w:tcPr>
          <w:p w14:paraId="3C073F86" w14:textId="77777777" w:rsidR="00C92E14" w:rsidRPr="00937662" w:rsidRDefault="00C92E14" w:rsidP="00C92E14"/>
        </w:tc>
      </w:tr>
      <w:tr w:rsidR="00C92E14" w:rsidRPr="00937662" w14:paraId="055084A3" w14:textId="77777777" w:rsidTr="009305D6">
        <w:tc>
          <w:tcPr>
            <w:tcW w:w="1260" w:type="dxa"/>
            <w:vMerge w:val="restart"/>
          </w:tcPr>
          <w:p w14:paraId="5237B42C" w14:textId="77777777" w:rsidR="00C92E14" w:rsidRPr="00937662" w:rsidRDefault="00C92E14" w:rsidP="00C92E14">
            <w:r w:rsidRPr="00937662">
              <w:t>Të dhënat personale</w:t>
            </w:r>
          </w:p>
        </w:tc>
        <w:tc>
          <w:tcPr>
            <w:tcW w:w="2970" w:type="dxa"/>
          </w:tcPr>
          <w:p w14:paraId="3E07EA81" w14:textId="77777777" w:rsidR="00C92E14" w:rsidRPr="00937662" w:rsidRDefault="00C92E14" w:rsidP="00C92E14">
            <w:r w:rsidRPr="00937662">
              <w:t>A përfshin opsioni përpunimin e të dhënave personale?</w:t>
            </w:r>
          </w:p>
        </w:tc>
        <w:tc>
          <w:tcPr>
            <w:tcW w:w="720" w:type="dxa"/>
          </w:tcPr>
          <w:p w14:paraId="50BC2DA1" w14:textId="77777777" w:rsidR="00C92E14" w:rsidRPr="00937662" w:rsidRDefault="00C92E14" w:rsidP="00C92E14"/>
        </w:tc>
        <w:tc>
          <w:tcPr>
            <w:tcW w:w="810" w:type="dxa"/>
          </w:tcPr>
          <w:p w14:paraId="5E2F605D" w14:textId="77777777" w:rsidR="00C92E14" w:rsidRPr="00937662" w:rsidRDefault="00C92E14" w:rsidP="00C92E14">
            <w:r w:rsidRPr="00937662">
              <w:t>x</w:t>
            </w:r>
          </w:p>
        </w:tc>
        <w:tc>
          <w:tcPr>
            <w:tcW w:w="1260" w:type="dxa"/>
          </w:tcPr>
          <w:p w14:paraId="5A90B8AF" w14:textId="77777777" w:rsidR="00C92E14" w:rsidRPr="00937662" w:rsidRDefault="00C92E14" w:rsidP="00C92E14"/>
        </w:tc>
        <w:tc>
          <w:tcPr>
            <w:tcW w:w="1260" w:type="dxa"/>
          </w:tcPr>
          <w:p w14:paraId="7D09F6CD" w14:textId="77777777" w:rsidR="00C92E14" w:rsidRPr="00937662" w:rsidRDefault="00C92E14" w:rsidP="00C92E14"/>
        </w:tc>
        <w:tc>
          <w:tcPr>
            <w:tcW w:w="1980" w:type="dxa"/>
          </w:tcPr>
          <w:p w14:paraId="024DFF87" w14:textId="77777777" w:rsidR="00C92E14" w:rsidRPr="00937662" w:rsidRDefault="00C92E14" w:rsidP="00C92E14"/>
        </w:tc>
      </w:tr>
      <w:tr w:rsidR="009305D6" w:rsidRPr="00937662" w14:paraId="19121AE1" w14:textId="77777777" w:rsidTr="009305D6">
        <w:tc>
          <w:tcPr>
            <w:tcW w:w="1260" w:type="dxa"/>
            <w:vMerge/>
          </w:tcPr>
          <w:p w14:paraId="7CFD033B" w14:textId="77777777" w:rsidR="009305D6" w:rsidRPr="00937662" w:rsidRDefault="009305D6" w:rsidP="00C92E14"/>
        </w:tc>
        <w:tc>
          <w:tcPr>
            <w:tcW w:w="2970" w:type="dxa"/>
          </w:tcPr>
          <w:p w14:paraId="1171F11A" w14:textId="77777777" w:rsidR="009305D6" w:rsidRPr="00937662" w:rsidRDefault="009305D6" w:rsidP="00C92E14">
            <w:r w:rsidRPr="00937662">
              <w:t>A janë të garantuara të drejtat e individit në qasje, korrigjim dhe kundërshtim?</w:t>
            </w:r>
          </w:p>
        </w:tc>
        <w:tc>
          <w:tcPr>
            <w:tcW w:w="720" w:type="dxa"/>
          </w:tcPr>
          <w:p w14:paraId="5B3B34C1" w14:textId="77777777" w:rsidR="009305D6" w:rsidRPr="00937662" w:rsidRDefault="009305D6" w:rsidP="00C92E14">
            <w:r w:rsidRPr="00937662">
              <w:t>x</w:t>
            </w:r>
          </w:p>
        </w:tc>
        <w:tc>
          <w:tcPr>
            <w:tcW w:w="810" w:type="dxa"/>
          </w:tcPr>
          <w:p w14:paraId="0963C6CE" w14:textId="77777777" w:rsidR="009305D6" w:rsidRPr="00937662" w:rsidRDefault="009305D6" w:rsidP="00C92E14"/>
        </w:tc>
        <w:tc>
          <w:tcPr>
            <w:tcW w:w="1260" w:type="dxa"/>
          </w:tcPr>
          <w:p w14:paraId="53CE7585" w14:textId="77777777" w:rsidR="009305D6" w:rsidRPr="00937662" w:rsidRDefault="009305D6" w:rsidP="00C92E14">
            <w:r w:rsidRPr="00937662">
              <w:t>E lartë</w:t>
            </w:r>
          </w:p>
        </w:tc>
        <w:tc>
          <w:tcPr>
            <w:tcW w:w="1260" w:type="dxa"/>
          </w:tcPr>
          <w:p w14:paraId="327F615C" w14:textId="77777777" w:rsidR="009305D6" w:rsidRPr="00937662" w:rsidRDefault="009305D6" w:rsidP="00C92E14">
            <w:r w:rsidRPr="00937662">
              <w:t>E lartë</w:t>
            </w:r>
          </w:p>
        </w:tc>
        <w:tc>
          <w:tcPr>
            <w:tcW w:w="1980" w:type="dxa"/>
          </w:tcPr>
          <w:p w14:paraId="5BC6CB6E" w14:textId="77777777" w:rsidR="009305D6" w:rsidRPr="00937662" w:rsidRDefault="009305D6" w:rsidP="00C92E14"/>
        </w:tc>
      </w:tr>
      <w:tr w:rsidR="009305D6" w:rsidRPr="00937662" w14:paraId="7C704E6C" w14:textId="77777777" w:rsidTr="009305D6">
        <w:tc>
          <w:tcPr>
            <w:tcW w:w="1260" w:type="dxa"/>
            <w:vMerge/>
          </w:tcPr>
          <w:p w14:paraId="669DDC9D" w14:textId="77777777" w:rsidR="009305D6" w:rsidRPr="00937662" w:rsidRDefault="009305D6" w:rsidP="00C92E14"/>
        </w:tc>
        <w:tc>
          <w:tcPr>
            <w:tcW w:w="2970" w:type="dxa"/>
          </w:tcPr>
          <w:p w14:paraId="512559B0" w14:textId="77777777" w:rsidR="009305D6" w:rsidRPr="00937662" w:rsidRDefault="009305D6" w:rsidP="00C92E14">
            <w:r w:rsidRPr="00937662">
              <w:t>A është e qartë dhe e mbrojtur mirë mënyra në të cilën përpunohen të dhënat personale?</w:t>
            </w:r>
          </w:p>
        </w:tc>
        <w:tc>
          <w:tcPr>
            <w:tcW w:w="720" w:type="dxa"/>
          </w:tcPr>
          <w:p w14:paraId="20EE88EF" w14:textId="77777777" w:rsidR="009305D6" w:rsidRPr="00937662" w:rsidRDefault="009305D6" w:rsidP="00C92E14">
            <w:r w:rsidRPr="00937662">
              <w:t>x</w:t>
            </w:r>
          </w:p>
        </w:tc>
        <w:tc>
          <w:tcPr>
            <w:tcW w:w="810" w:type="dxa"/>
          </w:tcPr>
          <w:p w14:paraId="7A08040D" w14:textId="77777777" w:rsidR="009305D6" w:rsidRPr="00937662" w:rsidRDefault="009305D6" w:rsidP="00C92E14"/>
        </w:tc>
        <w:tc>
          <w:tcPr>
            <w:tcW w:w="1260" w:type="dxa"/>
          </w:tcPr>
          <w:p w14:paraId="20904EA7" w14:textId="77777777" w:rsidR="009305D6" w:rsidRPr="00937662" w:rsidRDefault="009305D6" w:rsidP="00C92E14">
            <w:r w:rsidRPr="00937662">
              <w:t>E lartë</w:t>
            </w:r>
          </w:p>
        </w:tc>
        <w:tc>
          <w:tcPr>
            <w:tcW w:w="1260" w:type="dxa"/>
          </w:tcPr>
          <w:p w14:paraId="5B260DBF" w14:textId="77777777" w:rsidR="009305D6" w:rsidRPr="00937662" w:rsidRDefault="009305D6" w:rsidP="00C92E14">
            <w:r w:rsidRPr="00937662">
              <w:t>E lartë</w:t>
            </w:r>
          </w:p>
        </w:tc>
        <w:tc>
          <w:tcPr>
            <w:tcW w:w="1980" w:type="dxa"/>
          </w:tcPr>
          <w:p w14:paraId="5DEA3140" w14:textId="77777777" w:rsidR="009305D6" w:rsidRPr="00937662" w:rsidRDefault="009305D6" w:rsidP="00C92E14"/>
        </w:tc>
      </w:tr>
      <w:tr w:rsidR="00C92E14" w:rsidRPr="00937662" w14:paraId="39CC959D" w14:textId="77777777" w:rsidTr="009305D6">
        <w:tc>
          <w:tcPr>
            <w:tcW w:w="1260" w:type="dxa"/>
          </w:tcPr>
          <w:p w14:paraId="7B7D6DD5" w14:textId="77777777" w:rsidR="00C92E14" w:rsidRPr="00937662" w:rsidRDefault="00C92E14" w:rsidP="00C92E14">
            <w:r w:rsidRPr="00937662">
              <w:t>Azili</w:t>
            </w:r>
          </w:p>
        </w:tc>
        <w:tc>
          <w:tcPr>
            <w:tcW w:w="2970" w:type="dxa"/>
          </w:tcPr>
          <w:p w14:paraId="15EB741A" w14:textId="77777777" w:rsidR="00C92E14" w:rsidRPr="00937662" w:rsidRDefault="00C92E14" w:rsidP="00C92E14">
            <w:r w:rsidRPr="00937662">
              <w:t>A ndikon opsioni në të drejtën për azil?</w:t>
            </w:r>
          </w:p>
        </w:tc>
        <w:tc>
          <w:tcPr>
            <w:tcW w:w="720" w:type="dxa"/>
          </w:tcPr>
          <w:p w14:paraId="04D1B655" w14:textId="77777777" w:rsidR="00C92E14" w:rsidRPr="00937662" w:rsidRDefault="00C92E14" w:rsidP="00C92E14"/>
        </w:tc>
        <w:tc>
          <w:tcPr>
            <w:tcW w:w="810" w:type="dxa"/>
          </w:tcPr>
          <w:p w14:paraId="7C4C86C9" w14:textId="77777777" w:rsidR="00C92E14" w:rsidRPr="00937662" w:rsidRDefault="00C92E14" w:rsidP="00C92E14">
            <w:r w:rsidRPr="00937662">
              <w:t>x</w:t>
            </w:r>
          </w:p>
        </w:tc>
        <w:tc>
          <w:tcPr>
            <w:tcW w:w="1260" w:type="dxa"/>
          </w:tcPr>
          <w:p w14:paraId="1EDBB7CB" w14:textId="77777777" w:rsidR="00C92E14" w:rsidRPr="00937662" w:rsidRDefault="00C92E14" w:rsidP="00C92E14"/>
        </w:tc>
        <w:tc>
          <w:tcPr>
            <w:tcW w:w="1260" w:type="dxa"/>
          </w:tcPr>
          <w:p w14:paraId="6E26BA70" w14:textId="77777777" w:rsidR="00C92E14" w:rsidRPr="00937662" w:rsidRDefault="00C92E14" w:rsidP="00C92E14"/>
        </w:tc>
        <w:tc>
          <w:tcPr>
            <w:tcW w:w="1980" w:type="dxa"/>
          </w:tcPr>
          <w:p w14:paraId="5ECB56C4" w14:textId="77777777" w:rsidR="00C92E14" w:rsidRPr="00937662" w:rsidRDefault="00C92E14" w:rsidP="00C92E14"/>
        </w:tc>
      </w:tr>
      <w:tr w:rsidR="00C92E14" w:rsidRPr="00937662" w14:paraId="26FB4222" w14:textId="77777777" w:rsidTr="009305D6">
        <w:tc>
          <w:tcPr>
            <w:tcW w:w="1260" w:type="dxa"/>
            <w:vMerge w:val="restart"/>
          </w:tcPr>
          <w:p w14:paraId="78947DE6" w14:textId="77777777" w:rsidR="00C92E14" w:rsidRPr="00937662" w:rsidRDefault="00C92E14" w:rsidP="00C92E14">
            <w:r w:rsidRPr="00937662">
              <w:t>Te drejtat pronësore</w:t>
            </w:r>
          </w:p>
        </w:tc>
        <w:tc>
          <w:tcPr>
            <w:tcW w:w="2970" w:type="dxa"/>
          </w:tcPr>
          <w:p w14:paraId="73AEE6E6" w14:textId="77777777" w:rsidR="00C92E14" w:rsidRPr="00937662" w:rsidRDefault="00C92E14" w:rsidP="00C92E14">
            <w:r w:rsidRPr="00937662">
              <w:t>A do të preken të drejtat pronësore?</w:t>
            </w:r>
          </w:p>
        </w:tc>
        <w:tc>
          <w:tcPr>
            <w:tcW w:w="720" w:type="dxa"/>
          </w:tcPr>
          <w:p w14:paraId="17DCF99F" w14:textId="77777777" w:rsidR="00C92E14" w:rsidRPr="00937662" w:rsidRDefault="00C92E14" w:rsidP="00C92E14"/>
        </w:tc>
        <w:tc>
          <w:tcPr>
            <w:tcW w:w="810" w:type="dxa"/>
          </w:tcPr>
          <w:p w14:paraId="13610A2D" w14:textId="77777777" w:rsidR="00C92E14" w:rsidRPr="00937662" w:rsidRDefault="00C92E14" w:rsidP="00C92E14">
            <w:r w:rsidRPr="00937662">
              <w:t>x</w:t>
            </w:r>
          </w:p>
        </w:tc>
        <w:tc>
          <w:tcPr>
            <w:tcW w:w="1260" w:type="dxa"/>
          </w:tcPr>
          <w:p w14:paraId="0CD029C8" w14:textId="77777777" w:rsidR="00C92E14" w:rsidRPr="00937662" w:rsidRDefault="00C92E14" w:rsidP="00C92E14"/>
        </w:tc>
        <w:tc>
          <w:tcPr>
            <w:tcW w:w="1260" w:type="dxa"/>
          </w:tcPr>
          <w:p w14:paraId="28DF916F" w14:textId="77777777" w:rsidR="00C92E14" w:rsidRPr="00937662" w:rsidRDefault="00C92E14" w:rsidP="00C92E14"/>
        </w:tc>
        <w:tc>
          <w:tcPr>
            <w:tcW w:w="1980" w:type="dxa"/>
          </w:tcPr>
          <w:p w14:paraId="23DB1682" w14:textId="77777777" w:rsidR="00C92E14" w:rsidRPr="00937662" w:rsidRDefault="00C92E14" w:rsidP="00C92E14"/>
        </w:tc>
      </w:tr>
      <w:tr w:rsidR="00C92E14" w:rsidRPr="00937662" w14:paraId="7B582A8B" w14:textId="77777777" w:rsidTr="009305D6">
        <w:tc>
          <w:tcPr>
            <w:tcW w:w="1260" w:type="dxa"/>
            <w:vMerge/>
          </w:tcPr>
          <w:p w14:paraId="1024E214" w14:textId="77777777" w:rsidR="00C92E14" w:rsidRPr="00937662" w:rsidRDefault="00C92E14" w:rsidP="00C92E14"/>
        </w:tc>
        <w:tc>
          <w:tcPr>
            <w:tcW w:w="2970" w:type="dxa"/>
          </w:tcPr>
          <w:p w14:paraId="7201D6EE" w14:textId="77777777" w:rsidR="00C92E14" w:rsidRPr="00937662" w:rsidRDefault="00C92E14" w:rsidP="00C92E14">
            <w:r w:rsidRPr="00937662">
              <w:t>A ndikon opsioni në lirinë e të bërit biznes?</w:t>
            </w:r>
          </w:p>
        </w:tc>
        <w:tc>
          <w:tcPr>
            <w:tcW w:w="720" w:type="dxa"/>
          </w:tcPr>
          <w:p w14:paraId="4B9F551B" w14:textId="77777777" w:rsidR="00C92E14" w:rsidRPr="00937662" w:rsidRDefault="00C92E14" w:rsidP="00C92E14"/>
        </w:tc>
        <w:tc>
          <w:tcPr>
            <w:tcW w:w="810" w:type="dxa"/>
          </w:tcPr>
          <w:p w14:paraId="3A90D556" w14:textId="77777777" w:rsidR="00C92E14" w:rsidRPr="00937662" w:rsidRDefault="00C92E14" w:rsidP="00C92E14">
            <w:r w:rsidRPr="00937662">
              <w:t>x</w:t>
            </w:r>
          </w:p>
        </w:tc>
        <w:tc>
          <w:tcPr>
            <w:tcW w:w="1260" w:type="dxa"/>
          </w:tcPr>
          <w:p w14:paraId="615506A0" w14:textId="77777777" w:rsidR="00C92E14" w:rsidRPr="00937662" w:rsidRDefault="00C92E14" w:rsidP="00C92E14"/>
        </w:tc>
        <w:tc>
          <w:tcPr>
            <w:tcW w:w="1260" w:type="dxa"/>
          </w:tcPr>
          <w:p w14:paraId="15EC25C8" w14:textId="77777777" w:rsidR="00C92E14" w:rsidRPr="00937662" w:rsidRDefault="00C92E14" w:rsidP="00C92E14"/>
        </w:tc>
        <w:tc>
          <w:tcPr>
            <w:tcW w:w="1980" w:type="dxa"/>
          </w:tcPr>
          <w:p w14:paraId="1F723496" w14:textId="77777777" w:rsidR="00C92E14" w:rsidRPr="00937662" w:rsidRDefault="00C92E14" w:rsidP="00C92E14"/>
        </w:tc>
      </w:tr>
      <w:tr w:rsidR="00C92E14" w:rsidRPr="00937662" w14:paraId="3CA0C63D" w14:textId="77777777" w:rsidTr="009305D6">
        <w:tc>
          <w:tcPr>
            <w:tcW w:w="1260" w:type="dxa"/>
          </w:tcPr>
          <w:p w14:paraId="0064FE5A" w14:textId="77777777" w:rsidR="00C92E14" w:rsidRPr="00937662" w:rsidRDefault="00C92E14" w:rsidP="00C92E14">
            <w:r w:rsidRPr="00937662">
              <w:t>Trajtim i barabartë</w:t>
            </w:r>
          </w:p>
        </w:tc>
        <w:tc>
          <w:tcPr>
            <w:tcW w:w="2970" w:type="dxa"/>
          </w:tcPr>
          <w:p w14:paraId="3D7E6CE1" w14:textId="77777777" w:rsidR="00C92E14" w:rsidRPr="00937662" w:rsidRDefault="00C92E14" w:rsidP="00C92E14">
            <w:r w:rsidRPr="00937662">
              <w:t>A e mbron opsioni parimin e barazisë para ligjit?</w:t>
            </w:r>
          </w:p>
        </w:tc>
        <w:tc>
          <w:tcPr>
            <w:tcW w:w="720" w:type="dxa"/>
          </w:tcPr>
          <w:p w14:paraId="3623D7B2" w14:textId="77777777" w:rsidR="00C92E14" w:rsidRPr="00937662" w:rsidRDefault="00C92E14" w:rsidP="00C92E14">
            <w:r w:rsidRPr="00937662">
              <w:t>x</w:t>
            </w:r>
          </w:p>
        </w:tc>
        <w:tc>
          <w:tcPr>
            <w:tcW w:w="810" w:type="dxa"/>
          </w:tcPr>
          <w:p w14:paraId="1816955E" w14:textId="77777777" w:rsidR="00C92E14" w:rsidRPr="00937662" w:rsidRDefault="00C92E14" w:rsidP="00C92E14"/>
        </w:tc>
        <w:tc>
          <w:tcPr>
            <w:tcW w:w="1260" w:type="dxa"/>
          </w:tcPr>
          <w:p w14:paraId="356CF87D" w14:textId="77777777" w:rsidR="00C92E14" w:rsidRPr="00937662" w:rsidRDefault="00C92E14" w:rsidP="00C92E14">
            <w:r w:rsidRPr="00937662">
              <w:t>E lartë</w:t>
            </w:r>
          </w:p>
        </w:tc>
        <w:tc>
          <w:tcPr>
            <w:tcW w:w="1260" w:type="dxa"/>
          </w:tcPr>
          <w:p w14:paraId="308595DF" w14:textId="77777777" w:rsidR="00C92E14" w:rsidRPr="00937662" w:rsidRDefault="00C92E14" w:rsidP="00C92E14">
            <w:r w:rsidRPr="00937662">
              <w:t>E lartë</w:t>
            </w:r>
          </w:p>
        </w:tc>
        <w:tc>
          <w:tcPr>
            <w:tcW w:w="1980" w:type="dxa"/>
          </w:tcPr>
          <w:p w14:paraId="0FD36A46" w14:textId="77777777" w:rsidR="00C92E14" w:rsidRPr="00937662" w:rsidRDefault="00C92E14" w:rsidP="00C92E14"/>
        </w:tc>
      </w:tr>
      <w:tr w:rsidR="00C92E14" w:rsidRPr="00937662" w14:paraId="46BCE314" w14:textId="77777777" w:rsidTr="009305D6">
        <w:tc>
          <w:tcPr>
            <w:tcW w:w="1260" w:type="dxa"/>
          </w:tcPr>
          <w:p w14:paraId="7EE1DE95" w14:textId="77777777" w:rsidR="00C92E14" w:rsidRPr="00937662" w:rsidRDefault="00C92E14" w:rsidP="00C92E14"/>
        </w:tc>
        <w:tc>
          <w:tcPr>
            <w:tcW w:w="2970" w:type="dxa"/>
          </w:tcPr>
          <w:p w14:paraId="3A2504D2" w14:textId="77777777" w:rsidR="00C92E14" w:rsidRPr="00937662" w:rsidRDefault="00C92E14" w:rsidP="00C92E14">
            <w:r w:rsidRPr="00937662">
              <w:t xml:space="preserve">A ka gjasa që grupe të caktuara, të cilat preken në mënyrë </w:t>
            </w:r>
            <w:proofErr w:type="spellStart"/>
            <w:r w:rsidRPr="00937662">
              <w:t>direkte</w:t>
            </w:r>
            <w:proofErr w:type="spellEnd"/>
            <w:r w:rsidRPr="00937662">
              <w:t xml:space="preserve"> apo indirekte nga diskriminimi (p.sh. për shkak të gjinisë, racës, ngjyrës, përkatësisë etnike, mendimit politik ose mendimit tjetër, moshës ose orientimit seksual) të preken në mënyrë </w:t>
            </w:r>
            <w:proofErr w:type="spellStart"/>
            <w:r w:rsidRPr="00937662">
              <w:t>direkte</w:t>
            </w:r>
            <w:proofErr w:type="spellEnd"/>
            <w:r w:rsidRPr="00937662">
              <w:t xml:space="preserve"> apo indirekte?</w:t>
            </w:r>
          </w:p>
        </w:tc>
        <w:tc>
          <w:tcPr>
            <w:tcW w:w="720" w:type="dxa"/>
          </w:tcPr>
          <w:p w14:paraId="3936CE85" w14:textId="77777777" w:rsidR="00C92E14" w:rsidRPr="00937662" w:rsidRDefault="00C92E14" w:rsidP="00C92E14"/>
        </w:tc>
        <w:tc>
          <w:tcPr>
            <w:tcW w:w="810" w:type="dxa"/>
          </w:tcPr>
          <w:p w14:paraId="069DA32E" w14:textId="77777777" w:rsidR="00C92E14" w:rsidRPr="00937662" w:rsidRDefault="00C92E14" w:rsidP="00C92E14">
            <w:r w:rsidRPr="00937662">
              <w:t>x</w:t>
            </w:r>
          </w:p>
        </w:tc>
        <w:tc>
          <w:tcPr>
            <w:tcW w:w="1260" w:type="dxa"/>
          </w:tcPr>
          <w:p w14:paraId="6889CD89" w14:textId="77777777" w:rsidR="00C92E14" w:rsidRPr="00937662" w:rsidRDefault="00C92E14" w:rsidP="00C92E14"/>
        </w:tc>
        <w:tc>
          <w:tcPr>
            <w:tcW w:w="1260" w:type="dxa"/>
          </w:tcPr>
          <w:p w14:paraId="099EF8F5" w14:textId="77777777" w:rsidR="00C92E14" w:rsidRPr="00937662" w:rsidRDefault="00C92E14" w:rsidP="00C92E14"/>
        </w:tc>
        <w:tc>
          <w:tcPr>
            <w:tcW w:w="1980" w:type="dxa"/>
          </w:tcPr>
          <w:p w14:paraId="32C18FF8" w14:textId="77777777" w:rsidR="00C92E14" w:rsidRPr="00937662" w:rsidRDefault="00C92E14" w:rsidP="00C92E14"/>
        </w:tc>
      </w:tr>
      <w:tr w:rsidR="00C92E14" w:rsidRPr="00937662" w14:paraId="6D28D861" w14:textId="77777777" w:rsidTr="009305D6">
        <w:tc>
          <w:tcPr>
            <w:tcW w:w="1260" w:type="dxa"/>
          </w:tcPr>
          <w:p w14:paraId="576042C4" w14:textId="77777777" w:rsidR="00C92E14" w:rsidRPr="00937662" w:rsidRDefault="00C92E14" w:rsidP="00C92E14"/>
        </w:tc>
        <w:tc>
          <w:tcPr>
            <w:tcW w:w="2970" w:type="dxa"/>
          </w:tcPr>
          <w:p w14:paraId="22EE4481" w14:textId="77777777" w:rsidR="00C92E14" w:rsidRPr="00937662" w:rsidRDefault="00C92E14" w:rsidP="00C92E14">
            <w:r w:rsidRPr="00937662">
              <w:t>A ndikon opsioni në të drejtën e personave me aftësi të kufizuara?</w:t>
            </w:r>
          </w:p>
        </w:tc>
        <w:tc>
          <w:tcPr>
            <w:tcW w:w="720" w:type="dxa"/>
          </w:tcPr>
          <w:p w14:paraId="29C6C089" w14:textId="77777777" w:rsidR="00C92E14" w:rsidRPr="00937662" w:rsidRDefault="00C92E14" w:rsidP="00C92E14"/>
        </w:tc>
        <w:tc>
          <w:tcPr>
            <w:tcW w:w="810" w:type="dxa"/>
          </w:tcPr>
          <w:p w14:paraId="48D52009" w14:textId="77777777" w:rsidR="00C92E14" w:rsidRPr="00937662" w:rsidRDefault="00C92E14" w:rsidP="00C92E14">
            <w:r w:rsidRPr="00937662">
              <w:t>x</w:t>
            </w:r>
          </w:p>
        </w:tc>
        <w:tc>
          <w:tcPr>
            <w:tcW w:w="1260" w:type="dxa"/>
          </w:tcPr>
          <w:p w14:paraId="333AD210" w14:textId="77777777" w:rsidR="00C92E14" w:rsidRPr="00937662" w:rsidRDefault="00C92E14" w:rsidP="00C92E14"/>
        </w:tc>
        <w:tc>
          <w:tcPr>
            <w:tcW w:w="1260" w:type="dxa"/>
          </w:tcPr>
          <w:p w14:paraId="72996CA7" w14:textId="77777777" w:rsidR="00C92E14" w:rsidRPr="00937662" w:rsidRDefault="00C92E14" w:rsidP="00C92E14"/>
        </w:tc>
        <w:tc>
          <w:tcPr>
            <w:tcW w:w="1980" w:type="dxa"/>
          </w:tcPr>
          <w:p w14:paraId="02EA2F65" w14:textId="77777777" w:rsidR="00C92E14" w:rsidRPr="00937662" w:rsidRDefault="00C92E14" w:rsidP="00C92E14"/>
        </w:tc>
      </w:tr>
      <w:tr w:rsidR="00C92E14" w:rsidRPr="00937662" w14:paraId="2225AD33" w14:textId="77777777" w:rsidTr="009305D6">
        <w:tc>
          <w:tcPr>
            <w:tcW w:w="1260" w:type="dxa"/>
          </w:tcPr>
          <w:p w14:paraId="53020543" w14:textId="77777777" w:rsidR="00C92E14" w:rsidRPr="00937662" w:rsidRDefault="00C92E14" w:rsidP="00C92E14">
            <w:r w:rsidRPr="00937662">
              <w:t>Të drejtat e fëmijëve</w:t>
            </w:r>
          </w:p>
        </w:tc>
        <w:tc>
          <w:tcPr>
            <w:tcW w:w="2970" w:type="dxa"/>
          </w:tcPr>
          <w:p w14:paraId="0F90CE35" w14:textId="77777777" w:rsidR="00C92E14" w:rsidRPr="00937662" w:rsidRDefault="00C92E14" w:rsidP="00C92E14">
            <w:r w:rsidRPr="00937662">
              <w:t>A ndikon opsioni në të drejtat e fëmijëve?</w:t>
            </w:r>
          </w:p>
        </w:tc>
        <w:tc>
          <w:tcPr>
            <w:tcW w:w="720" w:type="dxa"/>
          </w:tcPr>
          <w:p w14:paraId="41438C30" w14:textId="77777777" w:rsidR="00C92E14" w:rsidRPr="00937662" w:rsidRDefault="00C92E14" w:rsidP="00C92E14"/>
        </w:tc>
        <w:tc>
          <w:tcPr>
            <w:tcW w:w="810" w:type="dxa"/>
          </w:tcPr>
          <w:p w14:paraId="5765EB79" w14:textId="77777777" w:rsidR="00C92E14" w:rsidRPr="00937662" w:rsidRDefault="00C92E14" w:rsidP="00C92E14">
            <w:r w:rsidRPr="00937662">
              <w:t>x</w:t>
            </w:r>
          </w:p>
        </w:tc>
        <w:tc>
          <w:tcPr>
            <w:tcW w:w="1260" w:type="dxa"/>
          </w:tcPr>
          <w:p w14:paraId="7C075938" w14:textId="77777777" w:rsidR="00C92E14" w:rsidRPr="00937662" w:rsidRDefault="00C92E14" w:rsidP="00C92E14"/>
        </w:tc>
        <w:tc>
          <w:tcPr>
            <w:tcW w:w="1260" w:type="dxa"/>
          </w:tcPr>
          <w:p w14:paraId="40F6B87F" w14:textId="77777777" w:rsidR="00C92E14" w:rsidRPr="00937662" w:rsidRDefault="00C92E14" w:rsidP="00C92E14"/>
        </w:tc>
        <w:tc>
          <w:tcPr>
            <w:tcW w:w="1980" w:type="dxa"/>
          </w:tcPr>
          <w:p w14:paraId="5410C36A" w14:textId="77777777" w:rsidR="00C92E14" w:rsidRPr="00937662" w:rsidRDefault="00C92E14" w:rsidP="00C92E14"/>
        </w:tc>
      </w:tr>
      <w:tr w:rsidR="00C92E14" w:rsidRPr="00937662" w14:paraId="6068A189" w14:textId="77777777" w:rsidTr="009305D6">
        <w:tc>
          <w:tcPr>
            <w:tcW w:w="1260" w:type="dxa"/>
          </w:tcPr>
          <w:p w14:paraId="1A724264" w14:textId="77777777" w:rsidR="00C92E14" w:rsidRPr="00937662" w:rsidRDefault="00C92E14" w:rsidP="00C92E14">
            <w:r w:rsidRPr="00937662">
              <w:t>Administrimi i mirë</w:t>
            </w:r>
          </w:p>
        </w:tc>
        <w:tc>
          <w:tcPr>
            <w:tcW w:w="2970" w:type="dxa"/>
          </w:tcPr>
          <w:p w14:paraId="2C69A708" w14:textId="77777777" w:rsidR="00C92E14" w:rsidRPr="00937662" w:rsidRDefault="00C92E14" w:rsidP="00C92E14">
            <w:r w:rsidRPr="00937662">
              <w:t>A do të bëhen procedurat administrative më të ndërlikuara?</w:t>
            </w:r>
          </w:p>
        </w:tc>
        <w:tc>
          <w:tcPr>
            <w:tcW w:w="720" w:type="dxa"/>
          </w:tcPr>
          <w:p w14:paraId="6C39BA4A" w14:textId="77777777" w:rsidR="00C92E14" w:rsidRPr="00937662" w:rsidRDefault="00C92E14" w:rsidP="00C92E14"/>
        </w:tc>
        <w:tc>
          <w:tcPr>
            <w:tcW w:w="810" w:type="dxa"/>
          </w:tcPr>
          <w:p w14:paraId="7DACA7A8" w14:textId="77777777" w:rsidR="00C92E14" w:rsidRPr="00937662" w:rsidRDefault="00C92E14" w:rsidP="00C92E14">
            <w:r w:rsidRPr="00937662">
              <w:t>x</w:t>
            </w:r>
          </w:p>
        </w:tc>
        <w:tc>
          <w:tcPr>
            <w:tcW w:w="1260" w:type="dxa"/>
          </w:tcPr>
          <w:p w14:paraId="63A8E51F" w14:textId="77777777" w:rsidR="00C92E14" w:rsidRPr="00937662" w:rsidRDefault="00C92E14" w:rsidP="00C92E14"/>
        </w:tc>
        <w:tc>
          <w:tcPr>
            <w:tcW w:w="1260" w:type="dxa"/>
          </w:tcPr>
          <w:p w14:paraId="616AB14C" w14:textId="77777777" w:rsidR="00C92E14" w:rsidRPr="00937662" w:rsidRDefault="00C92E14" w:rsidP="00C92E14"/>
        </w:tc>
        <w:tc>
          <w:tcPr>
            <w:tcW w:w="1980" w:type="dxa"/>
          </w:tcPr>
          <w:p w14:paraId="5520A50C" w14:textId="77777777" w:rsidR="00C92E14" w:rsidRPr="00937662" w:rsidRDefault="00C92E14" w:rsidP="00C92E14"/>
        </w:tc>
      </w:tr>
      <w:tr w:rsidR="00C92E14" w:rsidRPr="00937662" w14:paraId="00B03000" w14:textId="77777777" w:rsidTr="009305D6">
        <w:tc>
          <w:tcPr>
            <w:tcW w:w="1260" w:type="dxa"/>
          </w:tcPr>
          <w:p w14:paraId="2909FF5B" w14:textId="77777777" w:rsidR="00C92E14" w:rsidRPr="00937662" w:rsidRDefault="00C92E14" w:rsidP="00C92E14"/>
        </w:tc>
        <w:tc>
          <w:tcPr>
            <w:tcW w:w="2970" w:type="dxa"/>
          </w:tcPr>
          <w:p w14:paraId="7F95FFD3" w14:textId="77777777" w:rsidR="00C92E14" w:rsidRPr="00937662" w:rsidRDefault="00C92E14" w:rsidP="00C92E14">
            <w:r w:rsidRPr="00937662">
              <w:t>A ndikohet mënyra në të cilën administrata merr vendime (transparenca, afati procedural, qasja në ndonjë dosje, etj.)?</w:t>
            </w:r>
          </w:p>
        </w:tc>
        <w:tc>
          <w:tcPr>
            <w:tcW w:w="720" w:type="dxa"/>
          </w:tcPr>
          <w:p w14:paraId="38844394" w14:textId="77777777" w:rsidR="00C92E14" w:rsidRPr="00937662" w:rsidRDefault="00C92E14" w:rsidP="00C92E14">
            <w:r w:rsidRPr="00937662">
              <w:t>x</w:t>
            </w:r>
          </w:p>
        </w:tc>
        <w:tc>
          <w:tcPr>
            <w:tcW w:w="810" w:type="dxa"/>
          </w:tcPr>
          <w:p w14:paraId="45215D68" w14:textId="77777777" w:rsidR="00C92E14" w:rsidRPr="00937662" w:rsidRDefault="00C92E14" w:rsidP="00C92E14"/>
        </w:tc>
        <w:tc>
          <w:tcPr>
            <w:tcW w:w="1260" w:type="dxa"/>
          </w:tcPr>
          <w:p w14:paraId="2C09340D" w14:textId="77777777" w:rsidR="00C92E14" w:rsidRPr="00937662" w:rsidRDefault="00C92E14" w:rsidP="00C92E14">
            <w:r w:rsidRPr="00937662">
              <w:t>E lartë</w:t>
            </w:r>
          </w:p>
          <w:p w14:paraId="781EA552" w14:textId="77777777" w:rsidR="00C92E14" w:rsidRPr="00937662" w:rsidRDefault="00C92E14" w:rsidP="00C92E14"/>
        </w:tc>
        <w:tc>
          <w:tcPr>
            <w:tcW w:w="1260" w:type="dxa"/>
          </w:tcPr>
          <w:p w14:paraId="4AB92962" w14:textId="77777777" w:rsidR="00C92E14" w:rsidRPr="00937662" w:rsidRDefault="00C92E14" w:rsidP="00C92E14">
            <w:r w:rsidRPr="00937662">
              <w:t>E ulët</w:t>
            </w:r>
          </w:p>
        </w:tc>
        <w:tc>
          <w:tcPr>
            <w:tcW w:w="1980" w:type="dxa"/>
          </w:tcPr>
          <w:p w14:paraId="3C757256" w14:textId="77777777" w:rsidR="00C92E14" w:rsidRPr="00937662" w:rsidRDefault="00C92E14" w:rsidP="00C92E14"/>
        </w:tc>
      </w:tr>
      <w:tr w:rsidR="00C92E14" w:rsidRPr="00937662" w14:paraId="6C08261D" w14:textId="77777777" w:rsidTr="009305D6">
        <w:tc>
          <w:tcPr>
            <w:tcW w:w="1260" w:type="dxa"/>
          </w:tcPr>
          <w:p w14:paraId="022E32EA" w14:textId="77777777" w:rsidR="00C92E14" w:rsidRPr="00937662" w:rsidRDefault="00C92E14" w:rsidP="00C92E14"/>
        </w:tc>
        <w:tc>
          <w:tcPr>
            <w:tcW w:w="2970" w:type="dxa"/>
          </w:tcPr>
          <w:p w14:paraId="4163F65A" w14:textId="77777777" w:rsidR="00C92E14" w:rsidRPr="00937662" w:rsidRDefault="00C92E14" w:rsidP="00C92E14">
            <w:r w:rsidRPr="00937662">
              <w:t>Për ligjin penal dhe për dënimet e parapara: a preken të drejtat e të pandehurit?</w:t>
            </w:r>
          </w:p>
        </w:tc>
        <w:tc>
          <w:tcPr>
            <w:tcW w:w="720" w:type="dxa"/>
          </w:tcPr>
          <w:p w14:paraId="32EEBAA4" w14:textId="77777777" w:rsidR="00C92E14" w:rsidRPr="00937662" w:rsidRDefault="00C92E14" w:rsidP="00C92E14"/>
        </w:tc>
        <w:tc>
          <w:tcPr>
            <w:tcW w:w="810" w:type="dxa"/>
          </w:tcPr>
          <w:p w14:paraId="0B7AEBF0" w14:textId="77777777" w:rsidR="00C92E14" w:rsidRPr="00937662" w:rsidRDefault="00C92E14" w:rsidP="00C92E14">
            <w:r w:rsidRPr="00937662">
              <w:t>x</w:t>
            </w:r>
          </w:p>
        </w:tc>
        <w:tc>
          <w:tcPr>
            <w:tcW w:w="1260" w:type="dxa"/>
          </w:tcPr>
          <w:p w14:paraId="05BA1F2C" w14:textId="77777777" w:rsidR="00C92E14" w:rsidRPr="00937662" w:rsidRDefault="00C92E14" w:rsidP="00C92E14"/>
        </w:tc>
        <w:tc>
          <w:tcPr>
            <w:tcW w:w="1260" w:type="dxa"/>
          </w:tcPr>
          <w:p w14:paraId="504A8B50" w14:textId="77777777" w:rsidR="00C92E14" w:rsidRPr="00937662" w:rsidRDefault="00C92E14" w:rsidP="00C92E14"/>
        </w:tc>
        <w:tc>
          <w:tcPr>
            <w:tcW w:w="1980" w:type="dxa"/>
          </w:tcPr>
          <w:p w14:paraId="56CF5BF8" w14:textId="77777777" w:rsidR="00C92E14" w:rsidRPr="00937662" w:rsidRDefault="00C92E14" w:rsidP="00C92E14"/>
        </w:tc>
      </w:tr>
      <w:tr w:rsidR="00C92E14" w:rsidRPr="00C92E14" w14:paraId="083EA14A" w14:textId="77777777" w:rsidTr="009305D6">
        <w:trPr>
          <w:trHeight w:val="241"/>
        </w:trPr>
        <w:tc>
          <w:tcPr>
            <w:tcW w:w="1260" w:type="dxa"/>
          </w:tcPr>
          <w:p w14:paraId="0FAB0B64" w14:textId="77777777" w:rsidR="00C92E14" w:rsidRPr="00937662" w:rsidRDefault="00C92E14" w:rsidP="00C92E14"/>
        </w:tc>
        <w:tc>
          <w:tcPr>
            <w:tcW w:w="2970" w:type="dxa"/>
          </w:tcPr>
          <w:p w14:paraId="2FE0C1B0" w14:textId="77777777" w:rsidR="00C92E14" w:rsidRPr="00937662" w:rsidRDefault="00C92E14" w:rsidP="00C92E14">
            <w:r w:rsidRPr="00937662">
              <w:t>A preket qasja në drejtësi?</w:t>
            </w:r>
          </w:p>
        </w:tc>
        <w:tc>
          <w:tcPr>
            <w:tcW w:w="720" w:type="dxa"/>
          </w:tcPr>
          <w:p w14:paraId="5C7345EB" w14:textId="77777777" w:rsidR="00C92E14" w:rsidRPr="00937662" w:rsidRDefault="00C92E14" w:rsidP="00C92E14"/>
        </w:tc>
        <w:tc>
          <w:tcPr>
            <w:tcW w:w="810" w:type="dxa"/>
          </w:tcPr>
          <w:p w14:paraId="4D4E1F10" w14:textId="77777777" w:rsidR="00C92E14" w:rsidRPr="00C92E14" w:rsidRDefault="00C92E14" w:rsidP="00C92E14">
            <w:r w:rsidRPr="00937662">
              <w:t>x</w:t>
            </w:r>
          </w:p>
        </w:tc>
        <w:tc>
          <w:tcPr>
            <w:tcW w:w="1260" w:type="dxa"/>
          </w:tcPr>
          <w:p w14:paraId="490A88B8" w14:textId="77777777" w:rsidR="00C92E14" w:rsidRPr="00C92E14" w:rsidRDefault="00C92E14" w:rsidP="00C92E14"/>
        </w:tc>
        <w:tc>
          <w:tcPr>
            <w:tcW w:w="1260" w:type="dxa"/>
          </w:tcPr>
          <w:p w14:paraId="342BE7DE" w14:textId="77777777" w:rsidR="00C92E14" w:rsidRPr="00C92E14" w:rsidRDefault="00C92E14" w:rsidP="00C92E14"/>
        </w:tc>
        <w:tc>
          <w:tcPr>
            <w:tcW w:w="1980" w:type="dxa"/>
          </w:tcPr>
          <w:p w14:paraId="617AF96B" w14:textId="77777777" w:rsidR="00C92E14" w:rsidRDefault="00C92E14" w:rsidP="00C92E14"/>
          <w:p w14:paraId="136AEE24" w14:textId="77777777" w:rsidR="009305D6" w:rsidRPr="00C92E14" w:rsidRDefault="009305D6" w:rsidP="00C92E14"/>
        </w:tc>
      </w:tr>
    </w:tbl>
    <w:p w14:paraId="65BE4EED" w14:textId="77777777" w:rsidR="00C92E14" w:rsidRPr="00C92E14" w:rsidRDefault="00C92E14" w:rsidP="00C92E14"/>
    <w:p w14:paraId="50E6B908" w14:textId="77777777" w:rsidR="00C92E14" w:rsidRPr="00C92E14" w:rsidRDefault="00C92E14" w:rsidP="00C92E14">
      <w:r w:rsidRPr="00C92E14">
        <w:t xml:space="preserve"> </w:t>
      </w:r>
      <w:r w:rsidRPr="00C92E14">
        <w:tab/>
      </w:r>
    </w:p>
    <w:p w14:paraId="3E554711" w14:textId="77777777" w:rsidR="00C92E14" w:rsidRDefault="00C92E14"/>
    <w:sectPr w:rsidR="00C92E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40AF" w14:textId="77777777" w:rsidR="00AD12B9" w:rsidRDefault="00AD12B9" w:rsidP="00FC649E">
      <w:pPr>
        <w:spacing w:after="0" w:line="240" w:lineRule="auto"/>
      </w:pPr>
      <w:r>
        <w:separator/>
      </w:r>
    </w:p>
  </w:endnote>
  <w:endnote w:type="continuationSeparator" w:id="0">
    <w:p w14:paraId="38F1B4C9" w14:textId="77777777" w:rsidR="00AD12B9" w:rsidRDefault="00AD12B9" w:rsidP="00FC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32746"/>
      <w:docPartObj>
        <w:docPartGallery w:val="Page Numbers (Bottom of Page)"/>
        <w:docPartUnique/>
      </w:docPartObj>
    </w:sdtPr>
    <w:sdtEndPr>
      <w:rPr>
        <w:noProof/>
      </w:rPr>
    </w:sdtEndPr>
    <w:sdtContent>
      <w:p w14:paraId="7597ECDB" w14:textId="11E89CDE" w:rsidR="00F12D13" w:rsidRDefault="00F12D13">
        <w:pPr>
          <w:pStyle w:val="Footer"/>
          <w:jc w:val="right"/>
        </w:pPr>
        <w:r>
          <w:fldChar w:fldCharType="begin"/>
        </w:r>
        <w:r>
          <w:instrText xml:space="preserve"> PAGE   \* MERGEFORMAT </w:instrText>
        </w:r>
        <w:r>
          <w:fldChar w:fldCharType="separate"/>
        </w:r>
        <w:r w:rsidR="00A7768E">
          <w:rPr>
            <w:noProof/>
          </w:rPr>
          <w:t>39</w:t>
        </w:r>
        <w:r>
          <w:fldChar w:fldCharType="end"/>
        </w:r>
      </w:p>
    </w:sdtContent>
  </w:sdt>
  <w:p w14:paraId="606682F8" w14:textId="77777777" w:rsidR="00F12D13" w:rsidRDefault="00F12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BC75" w14:textId="77777777" w:rsidR="00AD12B9" w:rsidRDefault="00AD12B9" w:rsidP="00FC649E">
      <w:pPr>
        <w:spacing w:after="0" w:line="240" w:lineRule="auto"/>
      </w:pPr>
      <w:r>
        <w:separator/>
      </w:r>
    </w:p>
  </w:footnote>
  <w:footnote w:type="continuationSeparator" w:id="0">
    <w:p w14:paraId="6B428F95" w14:textId="77777777" w:rsidR="00AD12B9" w:rsidRDefault="00AD12B9" w:rsidP="00FC649E">
      <w:pPr>
        <w:spacing w:after="0" w:line="240" w:lineRule="auto"/>
      </w:pPr>
      <w:r>
        <w:continuationSeparator/>
      </w:r>
    </w:p>
  </w:footnote>
  <w:footnote w:id="1">
    <w:p w14:paraId="170D9B60" w14:textId="313279A0" w:rsidR="00F12D13" w:rsidRDefault="00F12D13" w:rsidP="00C92E14">
      <w:pPr>
        <w:pStyle w:val="FootnoteText"/>
      </w:pPr>
      <w:r>
        <w:rPr>
          <w:rStyle w:val="FootnoteReference"/>
        </w:rPr>
        <w:footnoteRef/>
      </w:r>
      <w:r>
        <w:t xml:space="preserve"> Legjislacioni i ri/amendamenti përmirëson dhe thjeshtëson mjedisin ligjor dhe institucional, por në përgjithësi, përmirësimi statistikor besohet të jetë i ulët</w:t>
      </w:r>
    </w:p>
  </w:footnote>
  <w:footnote w:id="2">
    <w:p w14:paraId="000E7CF5" w14:textId="77777777" w:rsidR="00F12D13" w:rsidRPr="00381DB3" w:rsidRDefault="00F12D13" w:rsidP="00C92E14">
      <w:pPr>
        <w:pStyle w:val="FootnoteText"/>
      </w:pPr>
      <w:r>
        <w:rPr>
          <w:rStyle w:val="FootnoteReference"/>
        </w:rPr>
        <w:footnoteRef/>
      </w:r>
      <w:r>
        <w:t xml:space="preserve"> Kur ndikon në vendet e punës, do të ketë edhe ndikime shoqërore.</w:t>
      </w:r>
    </w:p>
  </w:footnote>
  <w:footnote w:id="3">
    <w:p w14:paraId="46DC76A1" w14:textId="5BBF7B00" w:rsidR="00F12D13" w:rsidRDefault="00F12D13" w:rsidP="00C92E14">
      <w:pPr>
        <w:pStyle w:val="FootnoteText"/>
      </w:pPr>
      <w:r>
        <w:rPr>
          <w:rStyle w:val="FootnoteReference"/>
        </w:rPr>
        <w:footnoteRef/>
      </w:r>
      <w:r>
        <w:t xml:space="preserve"> Legjislacioni i ri/amendamenti përmirëson dhe thjeshtëson mjedisin ligjor dhe institucional, por në përgjithësi, përmirësimi statistikor besohet të jetë i ulët</w:t>
      </w:r>
    </w:p>
  </w:footnote>
  <w:footnote w:id="4">
    <w:p w14:paraId="12BFDE1A" w14:textId="77777777" w:rsidR="00F12D13" w:rsidRPr="00381DB3" w:rsidRDefault="00F12D13" w:rsidP="00C92E14">
      <w:pPr>
        <w:pStyle w:val="FootnoteText"/>
      </w:pPr>
      <w:r>
        <w:rPr>
          <w:rStyle w:val="FootnoteReference"/>
        </w:rPr>
        <w:footnoteRef/>
      </w:r>
      <w:r>
        <w:t xml:space="preserve"> Kur ndikon në vendet e punës, do të ketë edhe ndikimet ekonomike.</w:t>
      </w:r>
    </w:p>
  </w:footnote>
  <w:footnote w:id="5">
    <w:p w14:paraId="65B843DD" w14:textId="77777777" w:rsidR="00F12D13" w:rsidRDefault="00F12D13" w:rsidP="00C92E14">
      <w:pPr>
        <w:pStyle w:val="FootnoteText"/>
      </w:pPr>
      <w:r>
        <w:rPr>
          <w:rStyle w:val="FootnoteReference"/>
        </w:rPr>
        <w:footnoteRef/>
      </w:r>
      <w:r>
        <w:t xml:space="preserve"> Legjislacioni i ri përmirëson dhe thjeshtëson mjedisin ligjor dhe institucional, por në përgjithësi, përmirësimi statistikor besohet të jetë i ulët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A745" w14:textId="163121E5" w:rsidR="00F12D13" w:rsidRPr="00DB72CB" w:rsidRDefault="00F12D13" w:rsidP="00646EBE">
    <w:pPr>
      <w:pStyle w:val="Header"/>
      <w:jc w:val="center"/>
    </w:pPr>
    <w:r>
      <w:rPr>
        <w:rFonts w:ascii="Times New Roman" w:hAnsi="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105"/>
    <w:multiLevelType w:val="hybridMultilevel"/>
    <w:tmpl w:val="149636A8"/>
    <w:lvl w:ilvl="0" w:tplc="D7E63E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D2A15"/>
    <w:multiLevelType w:val="hybridMultilevel"/>
    <w:tmpl w:val="47DC32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14C64DA"/>
    <w:multiLevelType w:val="hybridMultilevel"/>
    <w:tmpl w:val="83A4AB2E"/>
    <w:lvl w:ilvl="0" w:tplc="D8F82B6E">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2896D86"/>
    <w:multiLevelType w:val="hybridMultilevel"/>
    <w:tmpl w:val="DFA8E29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4EE5983"/>
    <w:multiLevelType w:val="hybridMultilevel"/>
    <w:tmpl w:val="5ED80118"/>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6454C8"/>
    <w:multiLevelType w:val="hybridMultilevel"/>
    <w:tmpl w:val="BC54809A"/>
    <w:lvl w:ilvl="0" w:tplc="471A47D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F590A"/>
    <w:multiLevelType w:val="hybridMultilevel"/>
    <w:tmpl w:val="187EFB5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0CF715D6"/>
    <w:multiLevelType w:val="hybridMultilevel"/>
    <w:tmpl w:val="BDCC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744B8"/>
    <w:multiLevelType w:val="hybridMultilevel"/>
    <w:tmpl w:val="F642F016"/>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0561A"/>
    <w:multiLevelType w:val="hybridMultilevel"/>
    <w:tmpl w:val="D64CBE6C"/>
    <w:lvl w:ilvl="0" w:tplc="FFCA8D2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F892DA1"/>
    <w:multiLevelType w:val="hybridMultilevel"/>
    <w:tmpl w:val="5F9C58A6"/>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BE1CBB"/>
    <w:multiLevelType w:val="hybridMultilevel"/>
    <w:tmpl w:val="C144EDC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17D92464"/>
    <w:multiLevelType w:val="hybridMultilevel"/>
    <w:tmpl w:val="EBAA931E"/>
    <w:lvl w:ilvl="0" w:tplc="72967C5A">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A806254"/>
    <w:multiLevelType w:val="hybridMultilevel"/>
    <w:tmpl w:val="A22840CC"/>
    <w:lvl w:ilvl="0" w:tplc="055E5D2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3703F"/>
    <w:multiLevelType w:val="hybridMultilevel"/>
    <w:tmpl w:val="C5503D44"/>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737585"/>
    <w:multiLevelType w:val="hybridMultilevel"/>
    <w:tmpl w:val="A386C9FA"/>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F334A8"/>
    <w:multiLevelType w:val="hybridMultilevel"/>
    <w:tmpl w:val="BB22859C"/>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1145CB"/>
    <w:multiLevelType w:val="hybridMultilevel"/>
    <w:tmpl w:val="93DC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76BAA"/>
    <w:multiLevelType w:val="hybridMultilevel"/>
    <w:tmpl w:val="D32280C4"/>
    <w:lvl w:ilvl="0" w:tplc="B27CF0F0">
      <w:start w:val="1"/>
      <w:numFmt w:val="bullet"/>
      <w:lvlText w:val="-"/>
      <w:lvlJc w:val="left"/>
      <w:pPr>
        <w:ind w:left="-207" w:hanging="360"/>
      </w:pPr>
      <w:rPr>
        <w:rFonts w:ascii="Calibri" w:eastAsia="Malgun Gothic" w:hAnsi="Calibri"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3A2967D1"/>
    <w:multiLevelType w:val="hybridMultilevel"/>
    <w:tmpl w:val="51627BC2"/>
    <w:lvl w:ilvl="0" w:tplc="DC5671DA">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EE35E46"/>
    <w:multiLevelType w:val="hybridMultilevel"/>
    <w:tmpl w:val="B88C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7790F"/>
    <w:multiLevelType w:val="hybridMultilevel"/>
    <w:tmpl w:val="78BA0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4830F61"/>
    <w:multiLevelType w:val="hybridMultilevel"/>
    <w:tmpl w:val="69A07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02891"/>
    <w:multiLevelType w:val="multilevel"/>
    <w:tmpl w:val="EE84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680E93"/>
    <w:multiLevelType w:val="hybridMultilevel"/>
    <w:tmpl w:val="79C2ACA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546C06DD"/>
    <w:multiLevelType w:val="multilevel"/>
    <w:tmpl w:val="8D7A20D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5D87704"/>
    <w:multiLevelType w:val="hybridMultilevel"/>
    <w:tmpl w:val="FF26EBD2"/>
    <w:lvl w:ilvl="0" w:tplc="6BB0C348">
      <w:start w:val="1"/>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75235"/>
    <w:multiLevelType w:val="multilevel"/>
    <w:tmpl w:val="86B67C9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133495"/>
    <w:multiLevelType w:val="hybridMultilevel"/>
    <w:tmpl w:val="E5626512"/>
    <w:lvl w:ilvl="0" w:tplc="A8286FD0">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32D77A1"/>
    <w:multiLevelType w:val="hybridMultilevel"/>
    <w:tmpl w:val="CA7A5882"/>
    <w:lvl w:ilvl="0" w:tplc="992A47AA">
      <w:start w:val="9"/>
      <w:numFmt w:val="bullet"/>
      <w:lvlText w:val=""/>
      <w:lvlJc w:val="left"/>
      <w:pPr>
        <w:ind w:left="720" w:hanging="360"/>
      </w:pPr>
      <w:rPr>
        <w:rFonts w:ascii="Symbol" w:eastAsiaTheme="minorEastAsia"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5521E"/>
    <w:multiLevelType w:val="hybridMultilevel"/>
    <w:tmpl w:val="0C1E29B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64A42684"/>
    <w:multiLevelType w:val="hybridMultilevel"/>
    <w:tmpl w:val="EF6A38C6"/>
    <w:lvl w:ilvl="0" w:tplc="A07AEEAC">
      <w:start w:val="1"/>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E25DBA"/>
    <w:multiLevelType w:val="hybridMultilevel"/>
    <w:tmpl w:val="54941886"/>
    <w:lvl w:ilvl="0" w:tplc="BBF2AC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C2238"/>
    <w:multiLevelType w:val="hybridMultilevel"/>
    <w:tmpl w:val="70F6FA8C"/>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B02E71"/>
    <w:multiLevelType w:val="hybridMultilevel"/>
    <w:tmpl w:val="38B4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56DF9"/>
    <w:multiLevelType w:val="hybridMultilevel"/>
    <w:tmpl w:val="7058842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6A325DC2"/>
    <w:multiLevelType w:val="hybridMultilevel"/>
    <w:tmpl w:val="2D0C88F4"/>
    <w:lvl w:ilvl="0" w:tplc="503A35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1A0FFE"/>
    <w:multiLevelType w:val="hybridMultilevel"/>
    <w:tmpl w:val="778EF6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2C418A3"/>
    <w:multiLevelType w:val="hybridMultilevel"/>
    <w:tmpl w:val="AF0E2C8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 w15:restartNumberingAfterBreak="0">
    <w:nsid w:val="733515EC"/>
    <w:multiLevelType w:val="hybridMultilevel"/>
    <w:tmpl w:val="67163FF4"/>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EA1CC7"/>
    <w:multiLevelType w:val="hybridMultilevel"/>
    <w:tmpl w:val="731C6B6A"/>
    <w:lvl w:ilvl="0" w:tplc="503A35EA">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start w:val="1"/>
      <w:numFmt w:val="bullet"/>
      <w:lvlText w:val="o"/>
      <w:lvlJc w:val="left"/>
      <w:pPr>
        <w:ind w:left="3942" w:hanging="360"/>
      </w:pPr>
      <w:rPr>
        <w:rFonts w:ascii="Courier New" w:hAnsi="Courier New" w:cs="Courier New" w:hint="default"/>
      </w:rPr>
    </w:lvl>
    <w:lvl w:ilvl="5" w:tplc="04090005">
      <w:start w:val="1"/>
      <w:numFmt w:val="bullet"/>
      <w:lvlText w:val=""/>
      <w:lvlJc w:val="left"/>
      <w:pPr>
        <w:ind w:left="4662" w:hanging="360"/>
      </w:pPr>
      <w:rPr>
        <w:rFonts w:ascii="Wingdings" w:hAnsi="Wingdings" w:hint="default"/>
      </w:rPr>
    </w:lvl>
    <w:lvl w:ilvl="6" w:tplc="04090001">
      <w:start w:val="1"/>
      <w:numFmt w:val="bullet"/>
      <w:lvlText w:val=""/>
      <w:lvlJc w:val="left"/>
      <w:pPr>
        <w:ind w:left="5382" w:hanging="360"/>
      </w:pPr>
      <w:rPr>
        <w:rFonts w:ascii="Symbol" w:hAnsi="Symbol" w:hint="default"/>
      </w:rPr>
    </w:lvl>
    <w:lvl w:ilvl="7" w:tplc="04090003">
      <w:start w:val="1"/>
      <w:numFmt w:val="bullet"/>
      <w:lvlText w:val="o"/>
      <w:lvlJc w:val="left"/>
      <w:pPr>
        <w:ind w:left="6102" w:hanging="360"/>
      </w:pPr>
      <w:rPr>
        <w:rFonts w:ascii="Courier New" w:hAnsi="Courier New" w:cs="Courier New" w:hint="default"/>
      </w:rPr>
    </w:lvl>
    <w:lvl w:ilvl="8" w:tplc="04090005">
      <w:start w:val="1"/>
      <w:numFmt w:val="bullet"/>
      <w:lvlText w:val=""/>
      <w:lvlJc w:val="left"/>
      <w:pPr>
        <w:ind w:left="6822" w:hanging="360"/>
      </w:pPr>
      <w:rPr>
        <w:rFonts w:ascii="Wingdings" w:hAnsi="Wingdings" w:hint="default"/>
      </w:rPr>
    </w:lvl>
  </w:abstractNum>
  <w:abstractNum w:abstractNumId="41" w15:restartNumberingAfterBreak="0">
    <w:nsid w:val="775D7087"/>
    <w:multiLevelType w:val="hybridMultilevel"/>
    <w:tmpl w:val="B5E4788A"/>
    <w:lvl w:ilvl="0" w:tplc="297839F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86224"/>
    <w:multiLevelType w:val="hybridMultilevel"/>
    <w:tmpl w:val="3AE85B6E"/>
    <w:lvl w:ilvl="0" w:tplc="FFCA8D20">
      <w:start w:val="1"/>
      <w:numFmt w:val="bullet"/>
      <w:lvlText w:val=""/>
      <w:lvlJc w:val="left"/>
      <w:pPr>
        <w:ind w:left="135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9713E7A"/>
    <w:multiLevelType w:val="hybridMultilevel"/>
    <w:tmpl w:val="3768DDF0"/>
    <w:lvl w:ilvl="0" w:tplc="0409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9823D83"/>
    <w:multiLevelType w:val="hybridMultilevel"/>
    <w:tmpl w:val="05109DEA"/>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A74C04"/>
    <w:multiLevelType w:val="hybridMultilevel"/>
    <w:tmpl w:val="D320F110"/>
    <w:lvl w:ilvl="0" w:tplc="FFCA8D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34"/>
  </w:num>
  <w:num w:numId="4">
    <w:abstractNumId w:val="32"/>
  </w:num>
  <w:num w:numId="5">
    <w:abstractNumId w:val="29"/>
  </w:num>
  <w:num w:numId="6">
    <w:abstractNumId w:val="28"/>
  </w:num>
  <w:num w:numId="7">
    <w:abstractNumId w:val="1"/>
  </w:num>
  <w:num w:numId="8">
    <w:abstractNumId w:val="19"/>
  </w:num>
  <w:num w:numId="9">
    <w:abstractNumId w:val="18"/>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0"/>
  </w:num>
  <w:num w:numId="14">
    <w:abstractNumId w:val="44"/>
  </w:num>
  <w:num w:numId="15">
    <w:abstractNumId w:val="4"/>
  </w:num>
  <w:num w:numId="16">
    <w:abstractNumId w:val="39"/>
  </w:num>
  <w:num w:numId="17">
    <w:abstractNumId w:val="45"/>
  </w:num>
  <w:num w:numId="18">
    <w:abstractNumId w:val="16"/>
  </w:num>
  <w:num w:numId="19">
    <w:abstractNumId w:val="36"/>
  </w:num>
  <w:num w:numId="20">
    <w:abstractNumId w:val="33"/>
  </w:num>
  <w:num w:numId="21">
    <w:abstractNumId w:val="42"/>
  </w:num>
  <w:num w:numId="22">
    <w:abstractNumId w:val="14"/>
  </w:num>
  <w:num w:numId="23">
    <w:abstractNumId w:val="40"/>
  </w:num>
  <w:num w:numId="24">
    <w:abstractNumId w:val="15"/>
  </w:num>
  <w:num w:numId="25">
    <w:abstractNumId w:val="9"/>
  </w:num>
  <w:num w:numId="26">
    <w:abstractNumId w:val="8"/>
  </w:num>
  <w:num w:numId="27">
    <w:abstractNumId w:val="37"/>
  </w:num>
  <w:num w:numId="28">
    <w:abstractNumId w:val="38"/>
  </w:num>
  <w:num w:numId="29">
    <w:abstractNumId w:val="6"/>
  </w:num>
  <w:num w:numId="30">
    <w:abstractNumId w:val="41"/>
  </w:num>
  <w:num w:numId="31">
    <w:abstractNumId w:val="2"/>
  </w:num>
  <w:num w:numId="32">
    <w:abstractNumId w:val="26"/>
  </w:num>
  <w:num w:numId="33">
    <w:abstractNumId w:val="13"/>
  </w:num>
  <w:num w:numId="34">
    <w:abstractNumId w:val="30"/>
  </w:num>
  <w:num w:numId="35">
    <w:abstractNumId w:val="3"/>
  </w:num>
  <w:num w:numId="36">
    <w:abstractNumId w:val="24"/>
  </w:num>
  <w:num w:numId="37">
    <w:abstractNumId w:val="22"/>
  </w:num>
  <w:num w:numId="38">
    <w:abstractNumId w:val="20"/>
  </w:num>
  <w:num w:numId="39">
    <w:abstractNumId w:val="25"/>
  </w:num>
  <w:num w:numId="40">
    <w:abstractNumId w:val="5"/>
  </w:num>
  <w:num w:numId="41">
    <w:abstractNumId w:val="21"/>
  </w:num>
  <w:num w:numId="42">
    <w:abstractNumId w:val="7"/>
  </w:num>
  <w:num w:numId="43">
    <w:abstractNumId w:val="17"/>
  </w:num>
  <w:num w:numId="44">
    <w:abstractNumId w:val="23"/>
  </w:num>
  <w:num w:numId="45">
    <w:abstractNumId w:val="35"/>
  </w:num>
  <w:num w:numId="46">
    <w:abstractNumId w:val="1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9E"/>
    <w:rsid w:val="00004247"/>
    <w:rsid w:val="00005121"/>
    <w:rsid w:val="00006AAF"/>
    <w:rsid w:val="00006E3F"/>
    <w:rsid w:val="00007197"/>
    <w:rsid w:val="00007309"/>
    <w:rsid w:val="00010888"/>
    <w:rsid w:val="00010A01"/>
    <w:rsid w:val="0002198A"/>
    <w:rsid w:val="00021B38"/>
    <w:rsid w:val="00030117"/>
    <w:rsid w:val="00034AA1"/>
    <w:rsid w:val="00034DD8"/>
    <w:rsid w:val="00034DF4"/>
    <w:rsid w:val="00036A28"/>
    <w:rsid w:val="0004136A"/>
    <w:rsid w:val="000429E5"/>
    <w:rsid w:val="00043BD3"/>
    <w:rsid w:val="00047547"/>
    <w:rsid w:val="00052C3F"/>
    <w:rsid w:val="0005642E"/>
    <w:rsid w:val="00057634"/>
    <w:rsid w:val="00060161"/>
    <w:rsid w:val="000626B0"/>
    <w:rsid w:val="00063F14"/>
    <w:rsid w:val="000645F9"/>
    <w:rsid w:val="00065551"/>
    <w:rsid w:val="00065A9E"/>
    <w:rsid w:val="00066C3B"/>
    <w:rsid w:val="00072B78"/>
    <w:rsid w:val="00075911"/>
    <w:rsid w:val="00075963"/>
    <w:rsid w:val="00076775"/>
    <w:rsid w:val="000806D9"/>
    <w:rsid w:val="00085373"/>
    <w:rsid w:val="000869FE"/>
    <w:rsid w:val="0009255D"/>
    <w:rsid w:val="000936F4"/>
    <w:rsid w:val="000944B4"/>
    <w:rsid w:val="00094515"/>
    <w:rsid w:val="000A0BA5"/>
    <w:rsid w:val="000A322B"/>
    <w:rsid w:val="000A52D1"/>
    <w:rsid w:val="000A5ADF"/>
    <w:rsid w:val="000A7495"/>
    <w:rsid w:val="000B04EB"/>
    <w:rsid w:val="000B495F"/>
    <w:rsid w:val="000B7314"/>
    <w:rsid w:val="000B7772"/>
    <w:rsid w:val="000C1448"/>
    <w:rsid w:val="000C227F"/>
    <w:rsid w:val="000C3CF2"/>
    <w:rsid w:val="000C3D34"/>
    <w:rsid w:val="000C3EB4"/>
    <w:rsid w:val="000C7276"/>
    <w:rsid w:val="000D069B"/>
    <w:rsid w:val="000F6C28"/>
    <w:rsid w:val="000F76D8"/>
    <w:rsid w:val="00102F51"/>
    <w:rsid w:val="001048E7"/>
    <w:rsid w:val="00111BE4"/>
    <w:rsid w:val="00114593"/>
    <w:rsid w:val="00114FF3"/>
    <w:rsid w:val="00115832"/>
    <w:rsid w:val="0011729F"/>
    <w:rsid w:val="00117321"/>
    <w:rsid w:val="00123746"/>
    <w:rsid w:val="0012662F"/>
    <w:rsid w:val="001272EF"/>
    <w:rsid w:val="00127F67"/>
    <w:rsid w:val="00141C53"/>
    <w:rsid w:val="00145ADE"/>
    <w:rsid w:val="00146A6E"/>
    <w:rsid w:val="001502C3"/>
    <w:rsid w:val="001600D7"/>
    <w:rsid w:val="00160DC5"/>
    <w:rsid w:val="00162FFF"/>
    <w:rsid w:val="00164F87"/>
    <w:rsid w:val="00167DBB"/>
    <w:rsid w:val="00170212"/>
    <w:rsid w:val="0017205A"/>
    <w:rsid w:val="00172213"/>
    <w:rsid w:val="001726E5"/>
    <w:rsid w:val="00175669"/>
    <w:rsid w:val="00181665"/>
    <w:rsid w:val="0018462E"/>
    <w:rsid w:val="00184FBE"/>
    <w:rsid w:val="00190C9B"/>
    <w:rsid w:val="00190E6F"/>
    <w:rsid w:val="00191ACD"/>
    <w:rsid w:val="00194C93"/>
    <w:rsid w:val="001957A5"/>
    <w:rsid w:val="0019628A"/>
    <w:rsid w:val="001A08EB"/>
    <w:rsid w:val="001A14A1"/>
    <w:rsid w:val="001A2465"/>
    <w:rsid w:val="001A2934"/>
    <w:rsid w:val="001A2BA1"/>
    <w:rsid w:val="001A4400"/>
    <w:rsid w:val="001A5ED3"/>
    <w:rsid w:val="001A6F55"/>
    <w:rsid w:val="001B116C"/>
    <w:rsid w:val="001B5287"/>
    <w:rsid w:val="001B7B18"/>
    <w:rsid w:val="001D1949"/>
    <w:rsid w:val="001D518F"/>
    <w:rsid w:val="001E2ADD"/>
    <w:rsid w:val="001E4A39"/>
    <w:rsid w:val="001E5E1F"/>
    <w:rsid w:val="001E6794"/>
    <w:rsid w:val="001E70E3"/>
    <w:rsid w:val="001E7C49"/>
    <w:rsid w:val="001F2FC9"/>
    <w:rsid w:val="001F35B2"/>
    <w:rsid w:val="001F67F1"/>
    <w:rsid w:val="001F7812"/>
    <w:rsid w:val="00200CB9"/>
    <w:rsid w:val="00204549"/>
    <w:rsid w:val="002163EB"/>
    <w:rsid w:val="00221EA1"/>
    <w:rsid w:val="0022352C"/>
    <w:rsid w:val="00223AB4"/>
    <w:rsid w:val="002275C4"/>
    <w:rsid w:val="00227D88"/>
    <w:rsid w:val="0023488D"/>
    <w:rsid w:val="00234BEB"/>
    <w:rsid w:val="00237393"/>
    <w:rsid w:val="00237D84"/>
    <w:rsid w:val="00243C71"/>
    <w:rsid w:val="00245E72"/>
    <w:rsid w:val="00246929"/>
    <w:rsid w:val="00251C22"/>
    <w:rsid w:val="002539AA"/>
    <w:rsid w:val="00254615"/>
    <w:rsid w:val="00255DBC"/>
    <w:rsid w:val="002569DE"/>
    <w:rsid w:val="002571E3"/>
    <w:rsid w:val="002615ED"/>
    <w:rsid w:val="00264F47"/>
    <w:rsid w:val="002667DB"/>
    <w:rsid w:val="002673B6"/>
    <w:rsid w:val="00274A18"/>
    <w:rsid w:val="002810A3"/>
    <w:rsid w:val="00282F2D"/>
    <w:rsid w:val="002875EF"/>
    <w:rsid w:val="00287CBA"/>
    <w:rsid w:val="00292FAB"/>
    <w:rsid w:val="00295499"/>
    <w:rsid w:val="002955C2"/>
    <w:rsid w:val="00295814"/>
    <w:rsid w:val="002964CC"/>
    <w:rsid w:val="002971B7"/>
    <w:rsid w:val="00297DB5"/>
    <w:rsid w:val="002A0D7F"/>
    <w:rsid w:val="002A0FA1"/>
    <w:rsid w:val="002A1C1F"/>
    <w:rsid w:val="002A1C2F"/>
    <w:rsid w:val="002A2E80"/>
    <w:rsid w:val="002A3086"/>
    <w:rsid w:val="002B0106"/>
    <w:rsid w:val="002B6150"/>
    <w:rsid w:val="002C39DE"/>
    <w:rsid w:val="002D75B5"/>
    <w:rsid w:val="002D784E"/>
    <w:rsid w:val="002E5391"/>
    <w:rsid w:val="002E5C4D"/>
    <w:rsid w:val="002E7ECA"/>
    <w:rsid w:val="002F10B9"/>
    <w:rsid w:val="002F19FB"/>
    <w:rsid w:val="002F2EEA"/>
    <w:rsid w:val="002F6C7F"/>
    <w:rsid w:val="002F7375"/>
    <w:rsid w:val="00307391"/>
    <w:rsid w:val="003105FC"/>
    <w:rsid w:val="003110EB"/>
    <w:rsid w:val="00313979"/>
    <w:rsid w:val="003139B9"/>
    <w:rsid w:val="00315065"/>
    <w:rsid w:val="00324870"/>
    <w:rsid w:val="00324A6B"/>
    <w:rsid w:val="00324F34"/>
    <w:rsid w:val="00326445"/>
    <w:rsid w:val="00331267"/>
    <w:rsid w:val="003316A6"/>
    <w:rsid w:val="00336054"/>
    <w:rsid w:val="00337469"/>
    <w:rsid w:val="0033779C"/>
    <w:rsid w:val="00340174"/>
    <w:rsid w:val="00344FC7"/>
    <w:rsid w:val="0035193C"/>
    <w:rsid w:val="00352E64"/>
    <w:rsid w:val="0035378B"/>
    <w:rsid w:val="00354427"/>
    <w:rsid w:val="0035486A"/>
    <w:rsid w:val="003568B0"/>
    <w:rsid w:val="00356CD8"/>
    <w:rsid w:val="003577DE"/>
    <w:rsid w:val="00360C38"/>
    <w:rsid w:val="00364507"/>
    <w:rsid w:val="003662DA"/>
    <w:rsid w:val="00366679"/>
    <w:rsid w:val="00366AA6"/>
    <w:rsid w:val="00366EBE"/>
    <w:rsid w:val="0037456E"/>
    <w:rsid w:val="00374A9B"/>
    <w:rsid w:val="00380542"/>
    <w:rsid w:val="0038105D"/>
    <w:rsid w:val="00384C52"/>
    <w:rsid w:val="003870D3"/>
    <w:rsid w:val="00390EDF"/>
    <w:rsid w:val="00396ECB"/>
    <w:rsid w:val="003971E4"/>
    <w:rsid w:val="003A16C1"/>
    <w:rsid w:val="003A4FAE"/>
    <w:rsid w:val="003A53B6"/>
    <w:rsid w:val="003A693A"/>
    <w:rsid w:val="003A79FA"/>
    <w:rsid w:val="003B085F"/>
    <w:rsid w:val="003B2A8A"/>
    <w:rsid w:val="003B2E13"/>
    <w:rsid w:val="003B7382"/>
    <w:rsid w:val="003C0064"/>
    <w:rsid w:val="003C0E13"/>
    <w:rsid w:val="003C39A7"/>
    <w:rsid w:val="003C3BA0"/>
    <w:rsid w:val="003C406B"/>
    <w:rsid w:val="003C444E"/>
    <w:rsid w:val="003D019A"/>
    <w:rsid w:val="003D2956"/>
    <w:rsid w:val="003D7029"/>
    <w:rsid w:val="003E1567"/>
    <w:rsid w:val="003E2DB7"/>
    <w:rsid w:val="003E43F6"/>
    <w:rsid w:val="003E4E3B"/>
    <w:rsid w:val="003F2ACE"/>
    <w:rsid w:val="003F37CF"/>
    <w:rsid w:val="003F6078"/>
    <w:rsid w:val="003F74A3"/>
    <w:rsid w:val="004017BD"/>
    <w:rsid w:val="00401E49"/>
    <w:rsid w:val="00405F50"/>
    <w:rsid w:val="00406635"/>
    <w:rsid w:val="0041116A"/>
    <w:rsid w:val="00411C92"/>
    <w:rsid w:val="004167CA"/>
    <w:rsid w:val="00417CB5"/>
    <w:rsid w:val="00422604"/>
    <w:rsid w:val="00425F0C"/>
    <w:rsid w:val="0042691A"/>
    <w:rsid w:val="00432456"/>
    <w:rsid w:val="0043523C"/>
    <w:rsid w:val="004362BE"/>
    <w:rsid w:val="004368E4"/>
    <w:rsid w:val="004436FE"/>
    <w:rsid w:val="00443E30"/>
    <w:rsid w:val="00444274"/>
    <w:rsid w:val="004448B8"/>
    <w:rsid w:val="00446C7D"/>
    <w:rsid w:val="00451D24"/>
    <w:rsid w:val="00453389"/>
    <w:rsid w:val="00453CDE"/>
    <w:rsid w:val="0045512A"/>
    <w:rsid w:val="00461479"/>
    <w:rsid w:val="00462407"/>
    <w:rsid w:val="00464CEA"/>
    <w:rsid w:val="004666C3"/>
    <w:rsid w:val="00466FE1"/>
    <w:rsid w:val="0047189B"/>
    <w:rsid w:val="004720AF"/>
    <w:rsid w:val="00476705"/>
    <w:rsid w:val="00476F3E"/>
    <w:rsid w:val="0047758C"/>
    <w:rsid w:val="004775BB"/>
    <w:rsid w:val="00477F43"/>
    <w:rsid w:val="00486996"/>
    <w:rsid w:val="0049570C"/>
    <w:rsid w:val="00495E62"/>
    <w:rsid w:val="00496950"/>
    <w:rsid w:val="00496DE3"/>
    <w:rsid w:val="004A0743"/>
    <w:rsid w:val="004A1B91"/>
    <w:rsid w:val="004A219B"/>
    <w:rsid w:val="004A36A6"/>
    <w:rsid w:val="004A6000"/>
    <w:rsid w:val="004B0CDC"/>
    <w:rsid w:val="004B1B68"/>
    <w:rsid w:val="004B1CC9"/>
    <w:rsid w:val="004B7104"/>
    <w:rsid w:val="004D329A"/>
    <w:rsid w:val="004E41FB"/>
    <w:rsid w:val="004E5BA7"/>
    <w:rsid w:val="004F1508"/>
    <w:rsid w:val="004F1AED"/>
    <w:rsid w:val="004F2524"/>
    <w:rsid w:val="00501669"/>
    <w:rsid w:val="005153DC"/>
    <w:rsid w:val="00515818"/>
    <w:rsid w:val="00515D8E"/>
    <w:rsid w:val="0052592B"/>
    <w:rsid w:val="00525C49"/>
    <w:rsid w:val="00537B03"/>
    <w:rsid w:val="0055448D"/>
    <w:rsid w:val="00555BC4"/>
    <w:rsid w:val="0056106F"/>
    <w:rsid w:val="00566A17"/>
    <w:rsid w:val="00567C81"/>
    <w:rsid w:val="00570B5A"/>
    <w:rsid w:val="00571A04"/>
    <w:rsid w:val="005741A2"/>
    <w:rsid w:val="0057662E"/>
    <w:rsid w:val="00577F36"/>
    <w:rsid w:val="005806BF"/>
    <w:rsid w:val="00580F6E"/>
    <w:rsid w:val="00581A05"/>
    <w:rsid w:val="005820BD"/>
    <w:rsid w:val="005859E1"/>
    <w:rsid w:val="00586461"/>
    <w:rsid w:val="00586E5B"/>
    <w:rsid w:val="005928A9"/>
    <w:rsid w:val="005944B3"/>
    <w:rsid w:val="00595735"/>
    <w:rsid w:val="00597074"/>
    <w:rsid w:val="005B1009"/>
    <w:rsid w:val="005B1D8F"/>
    <w:rsid w:val="005B20E9"/>
    <w:rsid w:val="005C25D2"/>
    <w:rsid w:val="005C373C"/>
    <w:rsid w:val="005C4125"/>
    <w:rsid w:val="005D0CB0"/>
    <w:rsid w:val="005D3915"/>
    <w:rsid w:val="005D3BC3"/>
    <w:rsid w:val="005D4538"/>
    <w:rsid w:val="005D5C2E"/>
    <w:rsid w:val="005D69C7"/>
    <w:rsid w:val="005D6A99"/>
    <w:rsid w:val="005D6F97"/>
    <w:rsid w:val="005D6FCF"/>
    <w:rsid w:val="005D7908"/>
    <w:rsid w:val="005D7D6F"/>
    <w:rsid w:val="005E1839"/>
    <w:rsid w:val="005F21EB"/>
    <w:rsid w:val="005F3E44"/>
    <w:rsid w:val="005F4FE7"/>
    <w:rsid w:val="005F75C2"/>
    <w:rsid w:val="005F75C5"/>
    <w:rsid w:val="0060111B"/>
    <w:rsid w:val="006038E3"/>
    <w:rsid w:val="00612ADC"/>
    <w:rsid w:val="006174AA"/>
    <w:rsid w:val="0061794E"/>
    <w:rsid w:val="006208B2"/>
    <w:rsid w:val="00620CCD"/>
    <w:rsid w:val="00627338"/>
    <w:rsid w:val="00627788"/>
    <w:rsid w:val="006310F4"/>
    <w:rsid w:val="006322F0"/>
    <w:rsid w:val="00634203"/>
    <w:rsid w:val="00636F3E"/>
    <w:rsid w:val="00643860"/>
    <w:rsid w:val="00644216"/>
    <w:rsid w:val="006445F6"/>
    <w:rsid w:val="006467D6"/>
    <w:rsid w:val="00646EBE"/>
    <w:rsid w:val="006549E0"/>
    <w:rsid w:val="00657629"/>
    <w:rsid w:val="00661265"/>
    <w:rsid w:val="00664C5D"/>
    <w:rsid w:val="00664EAD"/>
    <w:rsid w:val="00665CE6"/>
    <w:rsid w:val="00665F9C"/>
    <w:rsid w:val="00670CE8"/>
    <w:rsid w:val="006720E9"/>
    <w:rsid w:val="006726E8"/>
    <w:rsid w:val="006747E8"/>
    <w:rsid w:val="00674D4B"/>
    <w:rsid w:val="00675001"/>
    <w:rsid w:val="00676935"/>
    <w:rsid w:val="00677A20"/>
    <w:rsid w:val="00680645"/>
    <w:rsid w:val="00680F15"/>
    <w:rsid w:val="00683A2B"/>
    <w:rsid w:val="00684668"/>
    <w:rsid w:val="00685E3D"/>
    <w:rsid w:val="00687CE8"/>
    <w:rsid w:val="00691C29"/>
    <w:rsid w:val="00691E0D"/>
    <w:rsid w:val="00692DBF"/>
    <w:rsid w:val="0069588D"/>
    <w:rsid w:val="00695C50"/>
    <w:rsid w:val="006978A2"/>
    <w:rsid w:val="006A3E7F"/>
    <w:rsid w:val="006A4C47"/>
    <w:rsid w:val="006A65A2"/>
    <w:rsid w:val="006A68D6"/>
    <w:rsid w:val="006A6FC0"/>
    <w:rsid w:val="006B1CB1"/>
    <w:rsid w:val="006B5821"/>
    <w:rsid w:val="006B6A4B"/>
    <w:rsid w:val="006B6A91"/>
    <w:rsid w:val="006B7534"/>
    <w:rsid w:val="006C04CC"/>
    <w:rsid w:val="006C3603"/>
    <w:rsid w:val="006C3C07"/>
    <w:rsid w:val="006C6293"/>
    <w:rsid w:val="006C6E78"/>
    <w:rsid w:val="006D0B6C"/>
    <w:rsid w:val="006D3687"/>
    <w:rsid w:val="006D6EDC"/>
    <w:rsid w:val="006F4494"/>
    <w:rsid w:val="006F640A"/>
    <w:rsid w:val="007005B5"/>
    <w:rsid w:val="0070559F"/>
    <w:rsid w:val="00706AD7"/>
    <w:rsid w:val="00706EB3"/>
    <w:rsid w:val="00710117"/>
    <w:rsid w:val="00711BF1"/>
    <w:rsid w:val="0071222F"/>
    <w:rsid w:val="007233CD"/>
    <w:rsid w:val="007239B5"/>
    <w:rsid w:val="00732470"/>
    <w:rsid w:val="00735404"/>
    <w:rsid w:val="00735E87"/>
    <w:rsid w:val="00735F18"/>
    <w:rsid w:val="007362A4"/>
    <w:rsid w:val="00736DD7"/>
    <w:rsid w:val="00737794"/>
    <w:rsid w:val="00740171"/>
    <w:rsid w:val="00740501"/>
    <w:rsid w:val="00741F82"/>
    <w:rsid w:val="00743BAD"/>
    <w:rsid w:val="00743DEF"/>
    <w:rsid w:val="00744E0D"/>
    <w:rsid w:val="00744E36"/>
    <w:rsid w:val="00746E6C"/>
    <w:rsid w:val="00750292"/>
    <w:rsid w:val="00750D9D"/>
    <w:rsid w:val="00752D75"/>
    <w:rsid w:val="00753657"/>
    <w:rsid w:val="007559F6"/>
    <w:rsid w:val="00755A64"/>
    <w:rsid w:val="0075778F"/>
    <w:rsid w:val="007608E7"/>
    <w:rsid w:val="0076282E"/>
    <w:rsid w:val="00763B17"/>
    <w:rsid w:val="00764654"/>
    <w:rsid w:val="00765CBE"/>
    <w:rsid w:val="00767427"/>
    <w:rsid w:val="0077574B"/>
    <w:rsid w:val="0078006A"/>
    <w:rsid w:val="00780A2E"/>
    <w:rsid w:val="00784CC9"/>
    <w:rsid w:val="00790DEF"/>
    <w:rsid w:val="00791158"/>
    <w:rsid w:val="00795A6A"/>
    <w:rsid w:val="007A10EE"/>
    <w:rsid w:val="007A12B8"/>
    <w:rsid w:val="007A2BEA"/>
    <w:rsid w:val="007A64E2"/>
    <w:rsid w:val="007B06FE"/>
    <w:rsid w:val="007B0946"/>
    <w:rsid w:val="007B359F"/>
    <w:rsid w:val="007B4590"/>
    <w:rsid w:val="007B55C4"/>
    <w:rsid w:val="007C020E"/>
    <w:rsid w:val="007C334F"/>
    <w:rsid w:val="007C4021"/>
    <w:rsid w:val="007C4EAA"/>
    <w:rsid w:val="007C6829"/>
    <w:rsid w:val="007D00F2"/>
    <w:rsid w:val="007D036D"/>
    <w:rsid w:val="007D0A0C"/>
    <w:rsid w:val="007E0AD5"/>
    <w:rsid w:val="007F0E19"/>
    <w:rsid w:val="007F21B7"/>
    <w:rsid w:val="007F307C"/>
    <w:rsid w:val="007F6BD2"/>
    <w:rsid w:val="007F7570"/>
    <w:rsid w:val="00802014"/>
    <w:rsid w:val="0080300F"/>
    <w:rsid w:val="008038D7"/>
    <w:rsid w:val="00804EBF"/>
    <w:rsid w:val="008074ED"/>
    <w:rsid w:val="00810A1F"/>
    <w:rsid w:val="0081525C"/>
    <w:rsid w:val="00815471"/>
    <w:rsid w:val="008156DD"/>
    <w:rsid w:val="0081598E"/>
    <w:rsid w:val="00821A38"/>
    <w:rsid w:val="00821EEB"/>
    <w:rsid w:val="0082598E"/>
    <w:rsid w:val="00825F15"/>
    <w:rsid w:val="00831C42"/>
    <w:rsid w:val="00836D57"/>
    <w:rsid w:val="00841E5C"/>
    <w:rsid w:val="00842A8F"/>
    <w:rsid w:val="00843722"/>
    <w:rsid w:val="0084720B"/>
    <w:rsid w:val="00852284"/>
    <w:rsid w:val="00852DAC"/>
    <w:rsid w:val="00853396"/>
    <w:rsid w:val="008539E6"/>
    <w:rsid w:val="00853AF2"/>
    <w:rsid w:val="008604EC"/>
    <w:rsid w:val="00862BCC"/>
    <w:rsid w:val="00864D56"/>
    <w:rsid w:val="0086734D"/>
    <w:rsid w:val="008778B1"/>
    <w:rsid w:val="00882BA9"/>
    <w:rsid w:val="00887F4E"/>
    <w:rsid w:val="00891B67"/>
    <w:rsid w:val="008938C1"/>
    <w:rsid w:val="008A44E6"/>
    <w:rsid w:val="008A61C7"/>
    <w:rsid w:val="008A77B4"/>
    <w:rsid w:val="008B1A41"/>
    <w:rsid w:val="008B1CE5"/>
    <w:rsid w:val="008B3295"/>
    <w:rsid w:val="008B554F"/>
    <w:rsid w:val="008B6AB2"/>
    <w:rsid w:val="008C6592"/>
    <w:rsid w:val="008D3C63"/>
    <w:rsid w:val="008D5CA5"/>
    <w:rsid w:val="008D5FFD"/>
    <w:rsid w:val="008E1FA3"/>
    <w:rsid w:val="008E20B3"/>
    <w:rsid w:val="008E58D9"/>
    <w:rsid w:val="008F0A09"/>
    <w:rsid w:val="008F209A"/>
    <w:rsid w:val="008F32D1"/>
    <w:rsid w:val="00901886"/>
    <w:rsid w:val="0090278E"/>
    <w:rsid w:val="0090412E"/>
    <w:rsid w:val="00904220"/>
    <w:rsid w:val="00904C32"/>
    <w:rsid w:val="009239C2"/>
    <w:rsid w:val="00924EAB"/>
    <w:rsid w:val="009250C0"/>
    <w:rsid w:val="00925316"/>
    <w:rsid w:val="009268BC"/>
    <w:rsid w:val="009275DE"/>
    <w:rsid w:val="009305D6"/>
    <w:rsid w:val="009329BC"/>
    <w:rsid w:val="00935AA2"/>
    <w:rsid w:val="009368CA"/>
    <w:rsid w:val="00936E58"/>
    <w:rsid w:val="00937662"/>
    <w:rsid w:val="00941521"/>
    <w:rsid w:val="0094214E"/>
    <w:rsid w:val="00946B4F"/>
    <w:rsid w:val="009512EF"/>
    <w:rsid w:val="00951FB7"/>
    <w:rsid w:val="00955F0E"/>
    <w:rsid w:val="00963249"/>
    <w:rsid w:val="00966E08"/>
    <w:rsid w:val="009701B3"/>
    <w:rsid w:val="00970A45"/>
    <w:rsid w:val="009741F3"/>
    <w:rsid w:val="00977813"/>
    <w:rsid w:val="00980483"/>
    <w:rsid w:val="00980FCF"/>
    <w:rsid w:val="00981368"/>
    <w:rsid w:val="0098245E"/>
    <w:rsid w:val="009839BA"/>
    <w:rsid w:val="00984609"/>
    <w:rsid w:val="00985995"/>
    <w:rsid w:val="00985F6D"/>
    <w:rsid w:val="009929FB"/>
    <w:rsid w:val="0099336B"/>
    <w:rsid w:val="009933BE"/>
    <w:rsid w:val="009940EB"/>
    <w:rsid w:val="0099495C"/>
    <w:rsid w:val="00997084"/>
    <w:rsid w:val="009A16A9"/>
    <w:rsid w:val="009A1F3A"/>
    <w:rsid w:val="009A3CF5"/>
    <w:rsid w:val="009B0587"/>
    <w:rsid w:val="009B069C"/>
    <w:rsid w:val="009B0999"/>
    <w:rsid w:val="009B2398"/>
    <w:rsid w:val="009B247B"/>
    <w:rsid w:val="009B3AAA"/>
    <w:rsid w:val="009B5D32"/>
    <w:rsid w:val="009B7950"/>
    <w:rsid w:val="009B7C06"/>
    <w:rsid w:val="009C092E"/>
    <w:rsid w:val="009C0CF1"/>
    <w:rsid w:val="009C1130"/>
    <w:rsid w:val="009C5978"/>
    <w:rsid w:val="009C5ACD"/>
    <w:rsid w:val="009D1241"/>
    <w:rsid w:val="009D696D"/>
    <w:rsid w:val="009E13DB"/>
    <w:rsid w:val="009E3F7B"/>
    <w:rsid w:val="009F2D1C"/>
    <w:rsid w:val="00A00574"/>
    <w:rsid w:val="00A0072D"/>
    <w:rsid w:val="00A039A5"/>
    <w:rsid w:val="00A03FB2"/>
    <w:rsid w:val="00A128E1"/>
    <w:rsid w:val="00A17A7A"/>
    <w:rsid w:val="00A21B11"/>
    <w:rsid w:val="00A22B77"/>
    <w:rsid w:val="00A23285"/>
    <w:rsid w:val="00A24789"/>
    <w:rsid w:val="00A25DD6"/>
    <w:rsid w:val="00A27061"/>
    <w:rsid w:val="00A34D4E"/>
    <w:rsid w:val="00A351E0"/>
    <w:rsid w:val="00A4142A"/>
    <w:rsid w:val="00A41CE3"/>
    <w:rsid w:val="00A42BAB"/>
    <w:rsid w:val="00A4312A"/>
    <w:rsid w:val="00A447D4"/>
    <w:rsid w:val="00A50A49"/>
    <w:rsid w:val="00A50EED"/>
    <w:rsid w:val="00A51CB6"/>
    <w:rsid w:val="00A52087"/>
    <w:rsid w:val="00A5336F"/>
    <w:rsid w:val="00A63032"/>
    <w:rsid w:val="00A67825"/>
    <w:rsid w:val="00A71589"/>
    <w:rsid w:val="00A7168B"/>
    <w:rsid w:val="00A717EE"/>
    <w:rsid w:val="00A74DC6"/>
    <w:rsid w:val="00A76110"/>
    <w:rsid w:val="00A7768E"/>
    <w:rsid w:val="00A80ED5"/>
    <w:rsid w:val="00A82057"/>
    <w:rsid w:val="00A8444B"/>
    <w:rsid w:val="00A86E0F"/>
    <w:rsid w:val="00A87572"/>
    <w:rsid w:val="00A90C2E"/>
    <w:rsid w:val="00A95E96"/>
    <w:rsid w:val="00AA3635"/>
    <w:rsid w:val="00AA7C96"/>
    <w:rsid w:val="00AB173A"/>
    <w:rsid w:val="00AB1A32"/>
    <w:rsid w:val="00AB3BA3"/>
    <w:rsid w:val="00AB5C0C"/>
    <w:rsid w:val="00AB6947"/>
    <w:rsid w:val="00AC1107"/>
    <w:rsid w:val="00AD12B9"/>
    <w:rsid w:val="00AE2276"/>
    <w:rsid w:val="00AE2CA5"/>
    <w:rsid w:val="00AE4073"/>
    <w:rsid w:val="00AE593B"/>
    <w:rsid w:val="00AF142F"/>
    <w:rsid w:val="00AF1B92"/>
    <w:rsid w:val="00AF4E48"/>
    <w:rsid w:val="00AF5186"/>
    <w:rsid w:val="00AF65BE"/>
    <w:rsid w:val="00AF6943"/>
    <w:rsid w:val="00AF7DCF"/>
    <w:rsid w:val="00B0066C"/>
    <w:rsid w:val="00B00796"/>
    <w:rsid w:val="00B00D59"/>
    <w:rsid w:val="00B03F82"/>
    <w:rsid w:val="00B04DFA"/>
    <w:rsid w:val="00B050E3"/>
    <w:rsid w:val="00B07EC6"/>
    <w:rsid w:val="00B12633"/>
    <w:rsid w:val="00B1432C"/>
    <w:rsid w:val="00B14479"/>
    <w:rsid w:val="00B161FB"/>
    <w:rsid w:val="00B16222"/>
    <w:rsid w:val="00B17969"/>
    <w:rsid w:val="00B202AB"/>
    <w:rsid w:val="00B22E59"/>
    <w:rsid w:val="00B261A5"/>
    <w:rsid w:val="00B26E2D"/>
    <w:rsid w:val="00B34731"/>
    <w:rsid w:val="00B35BD6"/>
    <w:rsid w:val="00B45BA2"/>
    <w:rsid w:val="00B51977"/>
    <w:rsid w:val="00B53AC6"/>
    <w:rsid w:val="00B56B81"/>
    <w:rsid w:val="00B62092"/>
    <w:rsid w:val="00B63C50"/>
    <w:rsid w:val="00B708FE"/>
    <w:rsid w:val="00B751CA"/>
    <w:rsid w:val="00B75383"/>
    <w:rsid w:val="00B76F78"/>
    <w:rsid w:val="00B82729"/>
    <w:rsid w:val="00B863F4"/>
    <w:rsid w:val="00B9448D"/>
    <w:rsid w:val="00BA16C5"/>
    <w:rsid w:val="00BB1F39"/>
    <w:rsid w:val="00BB486A"/>
    <w:rsid w:val="00BB4DF0"/>
    <w:rsid w:val="00BB6A96"/>
    <w:rsid w:val="00BC33A6"/>
    <w:rsid w:val="00BC452F"/>
    <w:rsid w:val="00BC6ACC"/>
    <w:rsid w:val="00BD1947"/>
    <w:rsid w:val="00BD24D8"/>
    <w:rsid w:val="00BD42C8"/>
    <w:rsid w:val="00BD5C99"/>
    <w:rsid w:val="00BE0EB2"/>
    <w:rsid w:val="00BE0F7C"/>
    <w:rsid w:val="00BE127A"/>
    <w:rsid w:val="00BE3214"/>
    <w:rsid w:val="00BE4214"/>
    <w:rsid w:val="00BE463E"/>
    <w:rsid w:val="00BE4F8E"/>
    <w:rsid w:val="00BE60D9"/>
    <w:rsid w:val="00BE7B1F"/>
    <w:rsid w:val="00BF2E87"/>
    <w:rsid w:val="00BF3502"/>
    <w:rsid w:val="00BF4475"/>
    <w:rsid w:val="00C022DE"/>
    <w:rsid w:val="00C0283F"/>
    <w:rsid w:val="00C0621E"/>
    <w:rsid w:val="00C10869"/>
    <w:rsid w:val="00C13C7D"/>
    <w:rsid w:val="00C13D62"/>
    <w:rsid w:val="00C1679E"/>
    <w:rsid w:val="00C26616"/>
    <w:rsid w:val="00C3450F"/>
    <w:rsid w:val="00C35C14"/>
    <w:rsid w:val="00C35C9E"/>
    <w:rsid w:val="00C41B83"/>
    <w:rsid w:val="00C456EC"/>
    <w:rsid w:val="00C464B2"/>
    <w:rsid w:val="00C469AA"/>
    <w:rsid w:val="00C50E3F"/>
    <w:rsid w:val="00C55E71"/>
    <w:rsid w:val="00C61237"/>
    <w:rsid w:val="00C664CD"/>
    <w:rsid w:val="00C7224B"/>
    <w:rsid w:val="00C73AB0"/>
    <w:rsid w:val="00C73B1B"/>
    <w:rsid w:val="00C765B4"/>
    <w:rsid w:val="00C76623"/>
    <w:rsid w:val="00C76816"/>
    <w:rsid w:val="00C76C4C"/>
    <w:rsid w:val="00C776AD"/>
    <w:rsid w:val="00C8048D"/>
    <w:rsid w:val="00C80912"/>
    <w:rsid w:val="00C82331"/>
    <w:rsid w:val="00C87690"/>
    <w:rsid w:val="00C9235B"/>
    <w:rsid w:val="00C92A10"/>
    <w:rsid w:val="00C92E14"/>
    <w:rsid w:val="00C9392B"/>
    <w:rsid w:val="00C952E9"/>
    <w:rsid w:val="00C956C7"/>
    <w:rsid w:val="00C967B9"/>
    <w:rsid w:val="00C96F33"/>
    <w:rsid w:val="00C96F43"/>
    <w:rsid w:val="00CA0F6C"/>
    <w:rsid w:val="00CA1419"/>
    <w:rsid w:val="00CA1493"/>
    <w:rsid w:val="00CA2627"/>
    <w:rsid w:val="00CA45D3"/>
    <w:rsid w:val="00CA5379"/>
    <w:rsid w:val="00CA671B"/>
    <w:rsid w:val="00CA6CF4"/>
    <w:rsid w:val="00CA6E44"/>
    <w:rsid w:val="00CA7F73"/>
    <w:rsid w:val="00CB14B9"/>
    <w:rsid w:val="00CB425F"/>
    <w:rsid w:val="00CB5600"/>
    <w:rsid w:val="00CB7D6A"/>
    <w:rsid w:val="00CC0015"/>
    <w:rsid w:val="00CC0772"/>
    <w:rsid w:val="00CC18FE"/>
    <w:rsid w:val="00CC39ED"/>
    <w:rsid w:val="00CC47DB"/>
    <w:rsid w:val="00CC4E52"/>
    <w:rsid w:val="00CC6829"/>
    <w:rsid w:val="00CD6242"/>
    <w:rsid w:val="00CE1172"/>
    <w:rsid w:val="00CE261D"/>
    <w:rsid w:val="00CE2931"/>
    <w:rsid w:val="00CE4AEF"/>
    <w:rsid w:val="00CE7960"/>
    <w:rsid w:val="00CF2FF4"/>
    <w:rsid w:val="00CF4B25"/>
    <w:rsid w:val="00CF659F"/>
    <w:rsid w:val="00CF6DB5"/>
    <w:rsid w:val="00CF710B"/>
    <w:rsid w:val="00D01D78"/>
    <w:rsid w:val="00D0359C"/>
    <w:rsid w:val="00D0375C"/>
    <w:rsid w:val="00D07007"/>
    <w:rsid w:val="00D12008"/>
    <w:rsid w:val="00D134FB"/>
    <w:rsid w:val="00D2167E"/>
    <w:rsid w:val="00D24686"/>
    <w:rsid w:val="00D254DD"/>
    <w:rsid w:val="00D27B3E"/>
    <w:rsid w:val="00D34666"/>
    <w:rsid w:val="00D358F8"/>
    <w:rsid w:val="00D359A4"/>
    <w:rsid w:val="00D35F07"/>
    <w:rsid w:val="00D36DA6"/>
    <w:rsid w:val="00D40562"/>
    <w:rsid w:val="00D422C8"/>
    <w:rsid w:val="00D42BBD"/>
    <w:rsid w:val="00D44244"/>
    <w:rsid w:val="00D44FDE"/>
    <w:rsid w:val="00D45337"/>
    <w:rsid w:val="00D52447"/>
    <w:rsid w:val="00D52D5E"/>
    <w:rsid w:val="00D55681"/>
    <w:rsid w:val="00D55EC5"/>
    <w:rsid w:val="00D56091"/>
    <w:rsid w:val="00D56257"/>
    <w:rsid w:val="00D5672C"/>
    <w:rsid w:val="00D56BF2"/>
    <w:rsid w:val="00D57AC2"/>
    <w:rsid w:val="00D652E8"/>
    <w:rsid w:val="00D76E82"/>
    <w:rsid w:val="00D82235"/>
    <w:rsid w:val="00D9018F"/>
    <w:rsid w:val="00D908E6"/>
    <w:rsid w:val="00D921F3"/>
    <w:rsid w:val="00D95E77"/>
    <w:rsid w:val="00D95F6F"/>
    <w:rsid w:val="00D9737F"/>
    <w:rsid w:val="00D97AEC"/>
    <w:rsid w:val="00DA201F"/>
    <w:rsid w:val="00DB29B0"/>
    <w:rsid w:val="00DB4DA3"/>
    <w:rsid w:val="00DC02B5"/>
    <w:rsid w:val="00DC2180"/>
    <w:rsid w:val="00DC6ECC"/>
    <w:rsid w:val="00DC7063"/>
    <w:rsid w:val="00DD17D3"/>
    <w:rsid w:val="00DD3528"/>
    <w:rsid w:val="00DD5552"/>
    <w:rsid w:val="00DE02BC"/>
    <w:rsid w:val="00DE0A80"/>
    <w:rsid w:val="00DE5DA8"/>
    <w:rsid w:val="00DE6C16"/>
    <w:rsid w:val="00DE7FCD"/>
    <w:rsid w:val="00DF4BBA"/>
    <w:rsid w:val="00E00AD7"/>
    <w:rsid w:val="00E03DC8"/>
    <w:rsid w:val="00E1117F"/>
    <w:rsid w:val="00E160AC"/>
    <w:rsid w:val="00E24964"/>
    <w:rsid w:val="00E24F23"/>
    <w:rsid w:val="00E2780F"/>
    <w:rsid w:val="00E33B36"/>
    <w:rsid w:val="00E35137"/>
    <w:rsid w:val="00E35F36"/>
    <w:rsid w:val="00E362B6"/>
    <w:rsid w:val="00E36A7A"/>
    <w:rsid w:val="00E3741B"/>
    <w:rsid w:val="00E37460"/>
    <w:rsid w:val="00E41C01"/>
    <w:rsid w:val="00E42D32"/>
    <w:rsid w:val="00E4626F"/>
    <w:rsid w:val="00E46A7D"/>
    <w:rsid w:val="00E46B44"/>
    <w:rsid w:val="00E47EAF"/>
    <w:rsid w:val="00E5098B"/>
    <w:rsid w:val="00E530C0"/>
    <w:rsid w:val="00E5363B"/>
    <w:rsid w:val="00E55E3E"/>
    <w:rsid w:val="00E57D0D"/>
    <w:rsid w:val="00E61258"/>
    <w:rsid w:val="00E62461"/>
    <w:rsid w:val="00E63081"/>
    <w:rsid w:val="00E67199"/>
    <w:rsid w:val="00E673E6"/>
    <w:rsid w:val="00E72871"/>
    <w:rsid w:val="00E80C88"/>
    <w:rsid w:val="00E8124F"/>
    <w:rsid w:val="00E81C3C"/>
    <w:rsid w:val="00E846FE"/>
    <w:rsid w:val="00E9023C"/>
    <w:rsid w:val="00E92B6A"/>
    <w:rsid w:val="00E9355B"/>
    <w:rsid w:val="00E964E8"/>
    <w:rsid w:val="00EA098F"/>
    <w:rsid w:val="00EA4790"/>
    <w:rsid w:val="00EA5906"/>
    <w:rsid w:val="00EA6658"/>
    <w:rsid w:val="00EB4F1C"/>
    <w:rsid w:val="00EB61AD"/>
    <w:rsid w:val="00EB646A"/>
    <w:rsid w:val="00EC08C7"/>
    <w:rsid w:val="00EC17E9"/>
    <w:rsid w:val="00EC23F6"/>
    <w:rsid w:val="00EC390B"/>
    <w:rsid w:val="00EC6280"/>
    <w:rsid w:val="00EC716D"/>
    <w:rsid w:val="00EC7DD8"/>
    <w:rsid w:val="00ED113B"/>
    <w:rsid w:val="00ED1E78"/>
    <w:rsid w:val="00EE0374"/>
    <w:rsid w:val="00EE288A"/>
    <w:rsid w:val="00EE706C"/>
    <w:rsid w:val="00EE7981"/>
    <w:rsid w:val="00F001FE"/>
    <w:rsid w:val="00F029C0"/>
    <w:rsid w:val="00F058A9"/>
    <w:rsid w:val="00F05B5C"/>
    <w:rsid w:val="00F10EE3"/>
    <w:rsid w:val="00F11E05"/>
    <w:rsid w:val="00F12158"/>
    <w:rsid w:val="00F12D13"/>
    <w:rsid w:val="00F13FA9"/>
    <w:rsid w:val="00F16947"/>
    <w:rsid w:val="00F20370"/>
    <w:rsid w:val="00F20957"/>
    <w:rsid w:val="00F213E6"/>
    <w:rsid w:val="00F224CB"/>
    <w:rsid w:val="00F23CF6"/>
    <w:rsid w:val="00F25A98"/>
    <w:rsid w:val="00F26335"/>
    <w:rsid w:val="00F339C9"/>
    <w:rsid w:val="00F33B28"/>
    <w:rsid w:val="00F37EC7"/>
    <w:rsid w:val="00F410D5"/>
    <w:rsid w:val="00F440E2"/>
    <w:rsid w:val="00F56C86"/>
    <w:rsid w:val="00F62B2F"/>
    <w:rsid w:val="00F671A9"/>
    <w:rsid w:val="00F7041D"/>
    <w:rsid w:val="00F71475"/>
    <w:rsid w:val="00F746DB"/>
    <w:rsid w:val="00F828C1"/>
    <w:rsid w:val="00F82CCE"/>
    <w:rsid w:val="00F83872"/>
    <w:rsid w:val="00F845E3"/>
    <w:rsid w:val="00F85710"/>
    <w:rsid w:val="00F87746"/>
    <w:rsid w:val="00F92FCE"/>
    <w:rsid w:val="00F96B4C"/>
    <w:rsid w:val="00FA42BB"/>
    <w:rsid w:val="00FA459A"/>
    <w:rsid w:val="00FB0413"/>
    <w:rsid w:val="00FB31D4"/>
    <w:rsid w:val="00FB6BF8"/>
    <w:rsid w:val="00FB7B37"/>
    <w:rsid w:val="00FC649E"/>
    <w:rsid w:val="00FD0660"/>
    <w:rsid w:val="00FD07D8"/>
    <w:rsid w:val="00FD3A82"/>
    <w:rsid w:val="00FD5283"/>
    <w:rsid w:val="00FE1674"/>
    <w:rsid w:val="00FE2236"/>
    <w:rsid w:val="00FE382E"/>
    <w:rsid w:val="00FE39B6"/>
    <w:rsid w:val="00FE3C54"/>
    <w:rsid w:val="00FE535E"/>
    <w:rsid w:val="00FE6C83"/>
    <w:rsid w:val="00FE7CBA"/>
    <w:rsid w:val="00FE7E63"/>
    <w:rsid w:val="00FF0775"/>
    <w:rsid w:val="00FF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8399"/>
  <w15:chartTrackingRefBased/>
  <w15:docId w15:val="{2F32C357-2D10-4EAA-8779-652629B3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01"/>
    <w:rPr>
      <w:rFonts w:ascii="Times New Roman" w:hAnsi="Times New Roman"/>
      <w:sz w:val="24"/>
    </w:rPr>
  </w:style>
  <w:style w:type="paragraph" w:styleId="Heading1">
    <w:name w:val="heading 1"/>
    <w:basedOn w:val="Normal"/>
    <w:next w:val="Normal"/>
    <w:link w:val="Heading1Char"/>
    <w:uiPriority w:val="9"/>
    <w:qFormat/>
    <w:rsid w:val="00FC64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D019A"/>
    <w:pPr>
      <w:keepNext/>
      <w:keepLines/>
      <w:spacing w:before="120" w:after="120" w:line="276" w:lineRule="auto"/>
      <w:outlineLvl w:val="1"/>
    </w:pPr>
    <w:rPr>
      <w:rFonts w:eastAsiaTheme="minorHAnsi" w:cs="Times New Roman"/>
      <w:b/>
      <w:bCs/>
      <w:color w:val="000000" w:themeColor="text1"/>
      <w:szCs w:val="24"/>
    </w:rPr>
  </w:style>
  <w:style w:type="paragraph" w:styleId="Heading3">
    <w:name w:val="heading 3"/>
    <w:basedOn w:val="Normal"/>
    <w:next w:val="Normal"/>
    <w:link w:val="Heading3Char"/>
    <w:autoRedefine/>
    <w:uiPriority w:val="9"/>
    <w:unhideWhenUsed/>
    <w:qFormat/>
    <w:rsid w:val="00C92E14"/>
    <w:pPr>
      <w:keepNext/>
      <w:keepLines/>
      <w:spacing w:before="40" w:after="0" w:line="276" w:lineRule="auto"/>
      <w:ind w:firstLine="720"/>
      <w:outlineLvl w:val="2"/>
    </w:pPr>
    <w:rPr>
      <w:rFonts w:eastAsiaTheme="majorEastAsia" w:cstheme="majorBidi"/>
      <w:i/>
      <w:color w:val="2E74B5" w:themeColor="accent1" w:themeShade="BF"/>
      <w:szCs w:val="24"/>
      <w:lang w:eastAsia="en-CA"/>
    </w:rPr>
  </w:style>
  <w:style w:type="paragraph" w:styleId="Heading4">
    <w:name w:val="heading 4"/>
    <w:basedOn w:val="Normal"/>
    <w:next w:val="Normal"/>
    <w:link w:val="Heading4Char"/>
    <w:uiPriority w:val="9"/>
    <w:unhideWhenUsed/>
    <w:qFormat/>
    <w:rsid w:val="00C92E14"/>
    <w:pPr>
      <w:keepNext/>
      <w:keepLines/>
      <w:spacing w:before="40" w:after="0" w:line="240" w:lineRule="auto"/>
      <w:outlineLvl w:val="3"/>
    </w:pPr>
    <w:rPr>
      <w:rFonts w:asciiTheme="majorHAnsi" w:eastAsiaTheme="majorEastAsia" w:hAnsiTheme="majorHAnsi" w:cstheme="majorBidi"/>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49E"/>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3D019A"/>
    <w:rPr>
      <w:rFonts w:ascii="Times New Roman" w:eastAsiaTheme="minorHAnsi" w:hAnsi="Times New Roman" w:cs="Times New Roman"/>
      <w:b/>
      <w:bCs/>
      <w:color w:val="000000" w:themeColor="text1"/>
      <w:sz w:val="24"/>
      <w:szCs w:val="24"/>
    </w:rPr>
  </w:style>
  <w:style w:type="table" w:customStyle="1" w:styleId="TableGrid1">
    <w:name w:val="Table Grid1"/>
    <w:basedOn w:val="TableNormal"/>
    <w:next w:val="TableGrid"/>
    <w:uiPriority w:val="39"/>
    <w:rsid w:val="00FC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649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FC649E"/>
    <w:pPr>
      <w:outlineLvl w:val="9"/>
    </w:pPr>
  </w:style>
  <w:style w:type="paragraph" w:styleId="TOC1">
    <w:name w:val="toc 1"/>
    <w:basedOn w:val="Normal"/>
    <w:next w:val="Normal"/>
    <w:autoRedefine/>
    <w:uiPriority w:val="39"/>
    <w:unhideWhenUsed/>
    <w:qFormat/>
    <w:rsid w:val="00FC649E"/>
    <w:pPr>
      <w:tabs>
        <w:tab w:val="right" w:leader="dot" w:pos="9530"/>
      </w:tabs>
      <w:spacing w:after="100"/>
    </w:pPr>
    <w:rPr>
      <w:rFonts w:cs="Times New Roman"/>
      <w:noProof/>
    </w:rPr>
  </w:style>
  <w:style w:type="character" w:styleId="Hyperlink">
    <w:name w:val="Hyperlink"/>
    <w:basedOn w:val="DefaultParagraphFont"/>
    <w:uiPriority w:val="99"/>
    <w:unhideWhenUsed/>
    <w:rsid w:val="00FC649E"/>
    <w:rPr>
      <w:color w:val="0563C1" w:themeColor="hyperlink"/>
      <w:u w:val="single"/>
    </w:rPr>
  </w:style>
  <w:style w:type="paragraph" w:styleId="TOC2">
    <w:name w:val="toc 2"/>
    <w:basedOn w:val="Normal"/>
    <w:next w:val="Normal"/>
    <w:autoRedefine/>
    <w:uiPriority w:val="39"/>
    <w:unhideWhenUsed/>
    <w:qFormat/>
    <w:rsid w:val="00FC649E"/>
    <w:pPr>
      <w:spacing w:after="100"/>
      <w:ind w:left="220"/>
    </w:pPr>
  </w:style>
  <w:style w:type="paragraph" w:styleId="FootnoteText">
    <w:name w:val="footnote text"/>
    <w:basedOn w:val="Normal"/>
    <w:link w:val="FootnoteTextChar"/>
    <w:uiPriority w:val="99"/>
    <w:unhideWhenUsed/>
    <w:rsid w:val="00FC649E"/>
    <w:pPr>
      <w:spacing w:after="0" w:line="240" w:lineRule="auto"/>
    </w:pPr>
    <w:rPr>
      <w:sz w:val="20"/>
      <w:szCs w:val="20"/>
    </w:rPr>
  </w:style>
  <w:style w:type="character" w:customStyle="1" w:styleId="FootnoteTextChar">
    <w:name w:val="Footnote Text Char"/>
    <w:basedOn w:val="DefaultParagraphFont"/>
    <w:link w:val="FootnoteText"/>
    <w:uiPriority w:val="99"/>
    <w:rsid w:val="00FC649E"/>
    <w:rPr>
      <w:sz w:val="20"/>
      <w:szCs w:val="20"/>
      <w:lang w:val="sq-AL"/>
    </w:rPr>
  </w:style>
  <w:style w:type="character" w:styleId="FootnoteReference">
    <w:name w:val="footnote reference"/>
    <w:basedOn w:val="DefaultParagraphFont"/>
    <w:uiPriority w:val="99"/>
    <w:unhideWhenUsed/>
    <w:rsid w:val="00FC649E"/>
    <w:rPr>
      <w:vertAlign w:val="superscript"/>
    </w:rPr>
  </w:style>
  <w:style w:type="paragraph" w:styleId="ListParagraph">
    <w:name w:val="List Paragraph"/>
    <w:basedOn w:val="Normal"/>
    <w:uiPriority w:val="34"/>
    <w:qFormat/>
    <w:rsid w:val="00FC649E"/>
    <w:pPr>
      <w:ind w:left="720"/>
      <w:contextualSpacing/>
    </w:pPr>
  </w:style>
  <w:style w:type="paragraph" w:customStyle="1" w:styleId="xmsotitle">
    <w:name w:val="x_msotitle"/>
    <w:basedOn w:val="Normal"/>
    <w:rsid w:val="00FC649E"/>
    <w:pPr>
      <w:spacing w:before="100" w:beforeAutospacing="1" w:after="100" w:afterAutospacing="1" w:line="240" w:lineRule="auto"/>
    </w:pPr>
    <w:rPr>
      <w:rFonts w:eastAsia="Times New Roman" w:cs="Times New Roman"/>
      <w:szCs w:val="24"/>
    </w:rPr>
  </w:style>
  <w:style w:type="paragraph" w:customStyle="1" w:styleId="xmsonormal">
    <w:name w:val="x_msonormal"/>
    <w:basedOn w:val="Normal"/>
    <w:rsid w:val="00FC649E"/>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FC649E"/>
    <w:pPr>
      <w:spacing w:before="100" w:beforeAutospacing="1" w:after="100" w:afterAutospacing="1" w:line="240" w:lineRule="auto"/>
    </w:pPr>
    <w:rPr>
      <w:rFonts w:eastAsia="Times New Roman" w:cs="Times New Roman"/>
      <w:szCs w:val="24"/>
    </w:rPr>
  </w:style>
  <w:style w:type="paragraph" w:customStyle="1" w:styleId="Default">
    <w:name w:val="Default"/>
    <w:rsid w:val="00FC649E"/>
    <w:pPr>
      <w:autoSpaceDE w:val="0"/>
      <w:autoSpaceDN w:val="0"/>
      <w:adjustRightInd w:val="0"/>
      <w:spacing w:after="0" w:line="240" w:lineRule="auto"/>
    </w:pPr>
    <w:rPr>
      <w:rFonts w:ascii="Arial" w:hAnsi="Arial" w:cs="Arial"/>
      <w:color w:val="000000"/>
      <w:sz w:val="24"/>
      <w:szCs w:val="24"/>
    </w:rPr>
  </w:style>
  <w:style w:type="paragraph" w:styleId="NoSpacing">
    <w:name w:val="No Spacing"/>
    <w:qFormat/>
    <w:rsid w:val="004F2524"/>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rsid w:val="00C92E14"/>
    <w:rPr>
      <w:rFonts w:ascii="Times New Roman" w:eastAsiaTheme="majorEastAsia" w:hAnsi="Times New Roman" w:cstheme="majorBidi"/>
      <w:i/>
      <w:color w:val="2E74B5" w:themeColor="accent1" w:themeShade="BF"/>
      <w:sz w:val="24"/>
      <w:szCs w:val="24"/>
      <w:lang w:eastAsia="en-CA"/>
    </w:rPr>
  </w:style>
  <w:style w:type="character" w:customStyle="1" w:styleId="Heading4Char">
    <w:name w:val="Heading 4 Char"/>
    <w:basedOn w:val="DefaultParagraphFont"/>
    <w:link w:val="Heading4"/>
    <w:uiPriority w:val="9"/>
    <w:rsid w:val="00C92E14"/>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C92E14"/>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92E14"/>
  </w:style>
  <w:style w:type="paragraph" w:styleId="Footer">
    <w:name w:val="footer"/>
    <w:basedOn w:val="Normal"/>
    <w:link w:val="FooterChar"/>
    <w:uiPriority w:val="99"/>
    <w:unhideWhenUsed/>
    <w:rsid w:val="00C92E14"/>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92E14"/>
  </w:style>
  <w:style w:type="paragraph" w:styleId="TOC3">
    <w:name w:val="toc 3"/>
    <w:basedOn w:val="Normal"/>
    <w:next w:val="Normal"/>
    <w:autoRedefine/>
    <w:uiPriority w:val="39"/>
    <w:unhideWhenUsed/>
    <w:qFormat/>
    <w:rsid w:val="00C92E14"/>
    <w:pPr>
      <w:tabs>
        <w:tab w:val="right" w:leader="dot" w:pos="9530"/>
      </w:tabs>
      <w:spacing w:after="100"/>
      <w:ind w:left="270"/>
    </w:pPr>
    <w:rPr>
      <w:rFonts w:asciiTheme="minorHAnsi" w:hAnsiTheme="minorHAnsi"/>
      <w:sz w:val="22"/>
    </w:rPr>
  </w:style>
  <w:style w:type="paragraph" w:styleId="BalloonText">
    <w:name w:val="Balloon Text"/>
    <w:basedOn w:val="Normal"/>
    <w:link w:val="BalloonTextChar"/>
    <w:uiPriority w:val="99"/>
    <w:semiHidden/>
    <w:unhideWhenUsed/>
    <w:rsid w:val="00C9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E14"/>
    <w:rPr>
      <w:rFonts w:ascii="Segoe UI" w:hAnsi="Segoe UI" w:cs="Segoe UI"/>
      <w:sz w:val="18"/>
      <w:szCs w:val="18"/>
    </w:rPr>
  </w:style>
  <w:style w:type="paragraph" w:styleId="CommentText">
    <w:name w:val="annotation text"/>
    <w:basedOn w:val="Normal"/>
    <w:link w:val="CommentTextChar"/>
    <w:uiPriority w:val="99"/>
    <w:unhideWhenUsed/>
    <w:rsid w:val="00C92E1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C92E14"/>
    <w:rPr>
      <w:sz w:val="20"/>
      <w:szCs w:val="20"/>
    </w:rPr>
  </w:style>
  <w:style w:type="paragraph" w:styleId="HTMLPreformatted">
    <w:name w:val="HTML Preformatted"/>
    <w:basedOn w:val="Normal"/>
    <w:link w:val="HTMLPreformattedChar"/>
    <w:uiPriority w:val="99"/>
    <w:unhideWhenUsed/>
    <w:rsid w:val="00C9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Pr>
      <w:rFonts w:ascii="Courier New" w:eastAsia="Arial Unicode MS" w:hAnsi="Courier New" w:cs="Times New Roman"/>
      <w:sz w:val="20"/>
      <w:szCs w:val="20"/>
    </w:rPr>
  </w:style>
  <w:style w:type="character" w:customStyle="1" w:styleId="HTMLPreformattedChar">
    <w:name w:val="HTML Preformatted Char"/>
    <w:basedOn w:val="DefaultParagraphFont"/>
    <w:link w:val="HTMLPreformatted"/>
    <w:uiPriority w:val="99"/>
    <w:rsid w:val="00C92E14"/>
    <w:rPr>
      <w:rFonts w:ascii="Courier New" w:eastAsia="Arial Unicode MS" w:hAnsi="Courier New" w:cs="Times New Roman"/>
      <w:sz w:val="20"/>
      <w:szCs w:val="20"/>
    </w:rPr>
  </w:style>
  <w:style w:type="character" w:customStyle="1" w:styleId="CommentSubjectChar">
    <w:name w:val="Comment Subject Char"/>
    <w:basedOn w:val="CommentTextChar"/>
    <w:link w:val="CommentSubject"/>
    <w:uiPriority w:val="99"/>
    <w:semiHidden/>
    <w:rsid w:val="00C92E14"/>
    <w:rPr>
      <w:b/>
      <w:bCs/>
      <w:sz w:val="20"/>
      <w:szCs w:val="20"/>
    </w:rPr>
  </w:style>
  <w:style w:type="paragraph" w:styleId="CommentSubject">
    <w:name w:val="annotation subject"/>
    <w:basedOn w:val="CommentText"/>
    <w:next w:val="CommentText"/>
    <w:link w:val="CommentSubjectChar"/>
    <w:uiPriority w:val="99"/>
    <w:semiHidden/>
    <w:unhideWhenUsed/>
    <w:rsid w:val="00C92E14"/>
    <w:rPr>
      <w:b/>
      <w:bCs/>
    </w:rPr>
  </w:style>
  <w:style w:type="character" w:customStyle="1" w:styleId="CommentSubjectChar1">
    <w:name w:val="Comment Subject Char1"/>
    <w:basedOn w:val="CommentTextChar"/>
    <w:uiPriority w:val="99"/>
    <w:semiHidden/>
    <w:rsid w:val="00C92E14"/>
    <w:rPr>
      <w:b/>
      <w:bCs/>
      <w:sz w:val="20"/>
      <w:szCs w:val="20"/>
    </w:rPr>
  </w:style>
  <w:style w:type="paragraph" w:customStyle="1" w:styleId="msonormal0">
    <w:name w:val="msonormal"/>
    <w:basedOn w:val="Normal"/>
    <w:rsid w:val="00C92E1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92E14"/>
    <w:rPr>
      <w:b/>
      <w:bCs/>
    </w:rPr>
  </w:style>
  <w:style w:type="numbering" w:customStyle="1" w:styleId="NoList1">
    <w:name w:val="No List1"/>
    <w:next w:val="NoList"/>
    <w:uiPriority w:val="99"/>
    <w:semiHidden/>
    <w:unhideWhenUsed/>
    <w:rsid w:val="00C92E14"/>
  </w:style>
  <w:style w:type="table" w:customStyle="1" w:styleId="TableGrid11">
    <w:name w:val="Table Grid11"/>
    <w:basedOn w:val="TableNormal"/>
    <w:next w:val="TableGrid"/>
    <w:uiPriority w:val="39"/>
    <w:rsid w:val="00C9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2E14"/>
    <w:rPr>
      <w:sz w:val="16"/>
      <w:szCs w:val="16"/>
    </w:rPr>
  </w:style>
  <w:style w:type="character" w:customStyle="1" w:styleId="UnresolvedMention1">
    <w:name w:val="Unresolved Mention1"/>
    <w:basedOn w:val="DefaultParagraphFont"/>
    <w:uiPriority w:val="99"/>
    <w:semiHidden/>
    <w:unhideWhenUsed/>
    <w:rsid w:val="00C92E14"/>
    <w:rPr>
      <w:color w:val="605E5C"/>
      <w:shd w:val="clear" w:color="auto" w:fill="E1DFDD"/>
    </w:rPr>
  </w:style>
  <w:style w:type="character" w:styleId="FollowedHyperlink">
    <w:name w:val="FollowedHyperlink"/>
    <w:basedOn w:val="DefaultParagraphFont"/>
    <w:uiPriority w:val="99"/>
    <w:semiHidden/>
    <w:unhideWhenUsed/>
    <w:rsid w:val="00C92E14"/>
    <w:rPr>
      <w:color w:val="954F72" w:themeColor="followedHyperlink"/>
      <w:u w:val="single"/>
    </w:rPr>
  </w:style>
  <w:style w:type="paragraph" w:customStyle="1" w:styleId="doc-ti">
    <w:name w:val="doc-ti"/>
    <w:basedOn w:val="Normal"/>
    <w:rsid w:val="00C92E14"/>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C92E14"/>
    <w:pPr>
      <w:spacing w:after="0" w:line="240" w:lineRule="auto"/>
    </w:pPr>
  </w:style>
  <w:style w:type="character" w:customStyle="1" w:styleId="UnresolvedMention2">
    <w:name w:val="Unresolved Mention2"/>
    <w:basedOn w:val="DefaultParagraphFont"/>
    <w:uiPriority w:val="99"/>
    <w:semiHidden/>
    <w:unhideWhenUsed/>
    <w:rsid w:val="00C92E14"/>
    <w:rPr>
      <w:color w:val="605E5C"/>
      <w:shd w:val="clear" w:color="auto" w:fill="E1DFDD"/>
    </w:rPr>
  </w:style>
  <w:style w:type="paragraph" w:customStyle="1" w:styleId="m-5027691873352982119msolistparagraph">
    <w:name w:val="m_-5027691873352982119msolistparagraph"/>
    <w:basedOn w:val="Normal"/>
    <w:rsid w:val="00C92E14"/>
    <w:pPr>
      <w:spacing w:before="100" w:beforeAutospacing="1" w:after="100" w:afterAutospacing="1" w:line="240" w:lineRule="auto"/>
    </w:pPr>
    <w:rPr>
      <w:rFonts w:eastAsia="Times New Roman" w:cs="Times New Roman"/>
      <w:szCs w:val="24"/>
    </w:rPr>
  </w:style>
  <w:style w:type="character" w:customStyle="1" w:styleId="UnresolvedMention3">
    <w:name w:val="Unresolved Mention3"/>
    <w:basedOn w:val="DefaultParagraphFont"/>
    <w:uiPriority w:val="99"/>
    <w:semiHidden/>
    <w:unhideWhenUsed/>
    <w:rsid w:val="00C92E14"/>
    <w:rPr>
      <w:color w:val="605E5C"/>
      <w:shd w:val="clear" w:color="auto" w:fill="E1DFDD"/>
    </w:rPr>
  </w:style>
  <w:style w:type="paragraph" w:styleId="Title">
    <w:name w:val="Title"/>
    <w:basedOn w:val="Normal"/>
    <w:link w:val="TitleChar"/>
    <w:uiPriority w:val="99"/>
    <w:qFormat/>
    <w:rsid w:val="00646EBE"/>
    <w:pPr>
      <w:spacing w:after="0" w:line="240" w:lineRule="auto"/>
      <w:jc w:val="center"/>
    </w:pPr>
    <w:rPr>
      <w:rFonts w:cs="Times New Roman"/>
      <w:b/>
      <w:bCs/>
      <w:szCs w:val="24"/>
    </w:rPr>
  </w:style>
  <w:style w:type="character" w:customStyle="1" w:styleId="TitleChar">
    <w:name w:val="Title Char"/>
    <w:basedOn w:val="DefaultParagraphFont"/>
    <w:link w:val="Title"/>
    <w:uiPriority w:val="99"/>
    <w:rsid w:val="00646EBE"/>
    <w:rPr>
      <w:rFonts w:ascii="Times New Roman" w:eastAsia="MS Mincho" w:hAnsi="Times New Roman" w:cs="Times New Roman"/>
      <w:b/>
      <w:bCs/>
      <w:sz w:val="24"/>
      <w:szCs w:val="24"/>
    </w:rPr>
  </w:style>
  <w:style w:type="paragraph" w:customStyle="1" w:styleId="CharCharChar">
    <w:name w:val="Char Char Char"/>
    <w:basedOn w:val="Normal"/>
    <w:rsid w:val="00646EBE"/>
    <w:pPr>
      <w:spacing w:line="240" w:lineRule="exact"/>
    </w:pPr>
    <w:rPr>
      <w:rFonts w:ascii="Tahoma" w:eastAsia="Times New Roman" w:hAnsi="Tahoma" w:cs="Times New Roman"/>
      <w:sz w:val="20"/>
      <w:szCs w:val="20"/>
    </w:rPr>
  </w:style>
  <w:style w:type="paragraph" w:styleId="Subtitle">
    <w:name w:val="Subtitle"/>
    <w:basedOn w:val="Normal"/>
    <w:next w:val="Normal"/>
    <w:link w:val="SubtitleChar"/>
    <w:uiPriority w:val="11"/>
    <w:qFormat/>
    <w:rsid w:val="009C1130"/>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C1130"/>
    <w:rPr>
      <w:rFonts w:eastAsiaTheme="minorEastAsia"/>
      <w:color w:val="5A5A5A" w:themeColor="text1" w:themeTint="A5"/>
      <w:spacing w:val="15"/>
    </w:rPr>
  </w:style>
  <w:style w:type="paragraph" w:styleId="EndnoteText">
    <w:name w:val="endnote text"/>
    <w:basedOn w:val="Normal"/>
    <w:link w:val="EndnoteTextChar"/>
    <w:uiPriority w:val="99"/>
    <w:semiHidden/>
    <w:unhideWhenUsed/>
    <w:rsid w:val="00966E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E08"/>
    <w:rPr>
      <w:rFonts w:ascii="Times New Roman" w:hAnsi="Times New Roman"/>
      <w:sz w:val="20"/>
      <w:szCs w:val="20"/>
    </w:rPr>
  </w:style>
  <w:style w:type="character" w:styleId="EndnoteReference">
    <w:name w:val="endnote reference"/>
    <w:basedOn w:val="DefaultParagraphFont"/>
    <w:uiPriority w:val="99"/>
    <w:semiHidden/>
    <w:unhideWhenUsed/>
    <w:rsid w:val="00966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zk.rks-gov.net/ActDetail.aspx?ActID=9518"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4910-2F60-4032-A19D-7ED7897A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14505</Words>
  <Characters>82685</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Shkurte Krasniqi</cp:lastModifiedBy>
  <cp:revision>14</cp:revision>
  <dcterms:created xsi:type="dcterms:W3CDTF">2024-09-30T07:23:00Z</dcterms:created>
  <dcterms:modified xsi:type="dcterms:W3CDTF">2025-02-27T13:18:00Z</dcterms:modified>
</cp:coreProperties>
</file>