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C9" w:rsidRPr="00953EC9" w:rsidRDefault="00953EC9" w:rsidP="00953EC9">
      <w:pPr>
        <w:tabs>
          <w:tab w:val="left" w:pos="4080"/>
        </w:tabs>
        <w:spacing w:after="0" w:line="240" w:lineRule="auto"/>
        <w:ind w:left="1080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953EC9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DB515B5" wp14:editId="4832C5BD">
            <wp:simplePos x="0" y="0"/>
            <wp:positionH relativeFrom="column">
              <wp:posOffset>2438578</wp:posOffset>
            </wp:positionH>
            <wp:positionV relativeFrom="paragraph">
              <wp:posOffset>62230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3EC9">
        <w:rPr>
          <w:rFonts w:ascii="Times New Roman" w:eastAsia="MS Mincho" w:hAnsi="Times New Roman" w:cs="Times New Roman"/>
          <w:b/>
          <w:bCs/>
          <w:sz w:val="18"/>
          <w:szCs w:val="18"/>
        </w:rPr>
        <w:tab/>
      </w:r>
    </w:p>
    <w:p w:rsidR="00953EC9" w:rsidRPr="00953EC9" w:rsidRDefault="00953EC9" w:rsidP="00953EC9">
      <w:pPr>
        <w:tabs>
          <w:tab w:val="left" w:pos="420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953EC9">
        <w:rPr>
          <w:rFonts w:ascii="Times New Roman" w:eastAsia="MS Mincho" w:hAnsi="Times New Roman" w:cs="Times New Roman"/>
          <w:b/>
          <w:bCs/>
          <w:sz w:val="18"/>
          <w:szCs w:val="18"/>
        </w:rPr>
        <w:tab/>
      </w: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sz w:val="18"/>
          <w:szCs w:val="18"/>
        </w:rPr>
      </w:pP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 w:eastAsia="sq-AL"/>
        </w:rPr>
      </w:pPr>
      <w:r w:rsidRPr="00953EC9">
        <w:rPr>
          <w:rFonts w:ascii="Book Antiqua" w:eastAsia="Times New Roman" w:hAnsi="Book Antiqua" w:cs="Book Antiqua"/>
          <w:b/>
          <w:bCs/>
          <w:sz w:val="32"/>
          <w:szCs w:val="32"/>
          <w:lang w:eastAsia="sq-AL"/>
        </w:rPr>
        <w:t>Republika e Kosovës</w:t>
      </w: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6"/>
          <w:szCs w:val="26"/>
          <w:lang w:val="sv-SE" w:eastAsia="sq-AL"/>
        </w:rPr>
      </w:pPr>
      <w:r w:rsidRPr="00953EC9">
        <w:rPr>
          <w:rFonts w:ascii="Book Antiqua" w:eastAsia="Batang" w:hAnsi="Book Antiqua" w:cs="Times New Roman"/>
          <w:b/>
          <w:bCs/>
          <w:sz w:val="26"/>
          <w:szCs w:val="26"/>
          <w:lang w:val="sv-SE" w:eastAsia="sq-AL"/>
        </w:rPr>
        <w:t>Republika Kosova-</w:t>
      </w:r>
      <w:r w:rsidRPr="00953EC9">
        <w:rPr>
          <w:rFonts w:ascii="Book Antiqua" w:eastAsia="Times New Roman" w:hAnsi="Book Antiqua" w:cs="Times New Roman"/>
          <w:b/>
          <w:bCs/>
          <w:sz w:val="26"/>
          <w:szCs w:val="26"/>
          <w:lang w:val="sv-SE" w:eastAsia="sq-AL"/>
        </w:rPr>
        <w:t xml:space="preserve">Republic of </w:t>
      </w:r>
      <w:proofErr w:type="spellStart"/>
      <w:r w:rsidRPr="00953EC9">
        <w:rPr>
          <w:rFonts w:ascii="Book Antiqua" w:eastAsia="Times New Roman" w:hAnsi="Book Antiqua" w:cs="Times New Roman"/>
          <w:b/>
          <w:bCs/>
          <w:sz w:val="26"/>
          <w:szCs w:val="26"/>
          <w:lang w:eastAsia="sq-AL"/>
        </w:rPr>
        <w:t>Kosovo</w:t>
      </w:r>
      <w:proofErr w:type="spellEnd"/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</w:pPr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Qeveria -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Vlada</w:t>
      </w:r>
      <w:proofErr w:type="spellEnd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 -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Government</w:t>
      </w:r>
      <w:proofErr w:type="spellEnd"/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</w:pPr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Zyra e Kryeministrit –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Ured</w:t>
      </w:r>
      <w:proofErr w:type="spellEnd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Premijera</w:t>
      </w:r>
      <w:proofErr w:type="spellEnd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 – Office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of</w:t>
      </w:r>
      <w:proofErr w:type="spellEnd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 the Prime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Minister</w:t>
      </w:r>
      <w:proofErr w:type="spellEnd"/>
    </w:p>
    <w:p w:rsidR="00953EC9" w:rsidRPr="00953EC9" w:rsidRDefault="00953EC9" w:rsidP="00953EC9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 w:eastAsia="sq-AL"/>
        </w:rPr>
      </w:pP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Zyra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e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Komisionerit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për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Gjuhët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–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Kancelarija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poverenika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za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jezike</w:t>
      </w:r>
      <w:proofErr w:type="spellEnd"/>
    </w:p>
    <w:p w:rsidR="00AE1D55" w:rsidRDefault="00953EC9" w:rsidP="00953E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Office of the Language Commissioner</w:t>
      </w:r>
    </w:p>
    <w:p w:rsidR="00FB4896" w:rsidRDefault="00FB4896" w:rsidP="009B7C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DD1FF2" w:rsidRDefault="00DD1FF2" w:rsidP="00864DEF">
      <w:pPr>
        <w:spacing w:after="0" w:line="276" w:lineRule="auto"/>
        <w:ind w:left="5760"/>
        <w:jc w:val="center"/>
        <w:rPr>
          <w:rFonts w:ascii="Book Antiqua" w:eastAsia="Times New Roman" w:hAnsi="Book Antiqua" w:cs="Times New Roman"/>
          <w:b/>
          <w:sz w:val="24"/>
          <w:szCs w:val="24"/>
          <w:lang w:eastAsia="sr-Latn-CS"/>
        </w:rPr>
      </w:pPr>
    </w:p>
    <w:p w:rsidR="00DD1FF2" w:rsidRDefault="00DD1FF2" w:rsidP="00DD1FF2">
      <w:pPr>
        <w:rPr>
          <w:rFonts w:ascii="Book Antiqua" w:eastAsia="Times New Roman" w:hAnsi="Book Antiqua" w:cs="Times New Roman"/>
          <w:sz w:val="24"/>
          <w:szCs w:val="24"/>
          <w:lang w:eastAsia="sr-Latn-CS"/>
        </w:rPr>
      </w:pPr>
    </w:p>
    <w:p w:rsidR="00DD1FF2" w:rsidRPr="00DD1FF2" w:rsidRDefault="00DD1FF2" w:rsidP="00DD1FF2">
      <w:pPr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DD1FF2">
        <w:rPr>
          <w:rFonts w:ascii="Book Antiqua" w:hAnsi="Book Antiqua"/>
          <w:b/>
          <w:bCs/>
          <w:color w:val="000000"/>
          <w:sz w:val="24"/>
          <w:szCs w:val="24"/>
        </w:rPr>
        <w:t>NJOFTIM PUBLIK PËR OJQ-TË</w:t>
      </w:r>
    </w:p>
    <w:p w:rsidR="00DD1FF2" w:rsidRDefault="00DD1FF2" w:rsidP="00DD1FF2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DD1FF2" w:rsidRPr="00263CE2" w:rsidRDefault="00DD1FF2" w:rsidP="00DD1FF2">
      <w:pPr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8D79C4">
        <w:rPr>
          <w:rFonts w:cstheme="minorHAnsi"/>
          <w:color w:val="000000"/>
          <w:sz w:val="24"/>
          <w:szCs w:val="24"/>
        </w:rPr>
        <w:t xml:space="preserve">Njoftohen OJQ-të e Republikës së Kosovës, </w:t>
      </w:r>
      <w:r>
        <w:rPr>
          <w:rFonts w:cstheme="minorHAnsi"/>
          <w:color w:val="000000"/>
          <w:sz w:val="24"/>
          <w:szCs w:val="24"/>
        </w:rPr>
        <w:t xml:space="preserve">të cilat janë të interesuara të aplikojnë në Thirrjen Publike të Zyrës së </w:t>
      </w:r>
      <w:proofErr w:type="spellStart"/>
      <w:r>
        <w:rPr>
          <w:rFonts w:cstheme="minorHAnsi"/>
          <w:color w:val="000000"/>
          <w:sz w:val="24"/>
          <w:szCs w:val="24"/>
        </w:rPr>
        <w:t>Komisionerit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pët</w:t>
      </w:r>
      <w:proofErr w:type="spellEnd"/>
      <w:r>
        <w:rPr>
          <w:rFonts w:cstheme="minorHAnsi"/>
          <w:color w:val="000000"/>
          <w:sz w:val="24"/>
          <w:szCs w:val="24"/>
        </w:rPr>
        <w:t xml:space="preserve"> gjuhët, të shpallur më 11.10,2024, </w:t>
      </w:r>
      <w:r w:rsidRPr="008D79C4">
        <w:rPr>
          <w:rFonts w:cstheme="minorHAnsi"/>
          <w:color w:val="000000"/>
          <w:sz w:val="24"/>
          <w:szCs w:val="24"/>
        </w:rPr>
        <w:t xml:space="preserve"> do të mbahet një sesion informues </w:t>
      </w:r>
      <w:r>
        <w:rPr>
          <w:rFonts w:cstheme="minorHAnsi"/>
          <w:color w:val="000000"/>
          <w:sz w:val="24"/>
          <w:szCs w:val="24"/>
        </w:rPr>
        <w:t xml:space="preserve">më datën </w:t>
      </w:r>
      <w:r w:rsidRPr="00263CE2">
        <w:rPr>
          <w:rFonts w:cstheme="minorHAnsi"/>
          <w:b/>
          <w:color w:val="000000"/>
          <w:sz w:val="24"/>
          <w:szCs w:val="24"/>
          <w:u w:val="single"/>
        </w:rPr>
        <w:t>24.10.2024, në orën 10.00, në Ndërtesën e Qeverisë, salla P37.</w:t>
      </w:r>
    </w:p>
    <w:p w:rsidR="00DD1FF2" w:rsidRDefault="00DD1FF2" w:rsidP="00DD1FF2">
      <w:pPr>
        <w:jc w:val="both"/>
        <w:rPr>
          <w:rFonts w:cstheme="minorHAnsi"/>
          <w:color w:val="000000"/>
          <w:sz w:val="24"/>
          <w:szCs w:val="24"/>
        </w:rPr>
      </w:pPr>
    </w:p>
    <w:p w:rsidR="00DD1FF2" w:rsidRPr="008D79C4" w:rsidRDefault="00DD1FF2" w:rsidP="00DD1FF2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8D79C4">
        <w:rPr>
          <w:rFonts w:cstheme="minorHAnsi"/>
          <w:color w:val="000000"/>
          <w:sz w:val="24"/>
          <w:szCs w:val="24"/>
        </w:rPr>
        <w:t xml:space="preserve">Gjatë sesionit, pjesëmarrësit do të mund të bëjnë pyetje për të gjitha aspektet dhe kriteret e kërkuara nga pakoja e thirrjes publike për </w:t>
      </w:r>
      <w:r w:rsidRPr="008D79C4">
        <w:rPr>
          <w:rFonts w:cstheme="minorHAnsi"/>
          <w:sz w:val="24"/>
          <w:szCs w:val="24"/>
        </w:rPr>
        <w:t>ofrimin e mbështetjes financiare publike të projekteve/programeve të OJQ-ve në promovimin dhe mbrojtjen e të drejtave gjuhësore.</w:t>
      </w:r>
    </w:p>
    <w:p w:rsidR="00DD1FF2" w:rsidRPr="008D79C4" w:rsidRDefault="00DD1FF2" w:rsidP="00DD1FF2">
      <w:pPr>
        <w:jc w:val="both"/>
        <w:rPr>
          <w:rFonts w:cstheme="minorHAnsi"/>
          <w:color w:val="000000"/>
          <w:sz w:val="24"/>
          <w:szCs w:val="24"/>
        </w:rPr>
      </w:pPr>
    </w:p>
    <w:p w:rsidR="00DD1FF2" w:rsidRPr="008D79C4" w:rsidRDefault="00DD1FF2" w:rsidP="00DD1FF2">
      <w:pPr>
        <w:jc w:val="both"/>
        <w:rPr>
          <w:rFonts w:cstheme="minorHAnsi"/>
          <w:color w:val="000000"/>
          <w:sz w:val="24"/>
          <w:szCs w:val="24"/>
        </w:rPr>
      </w:pPr>
    </w:p>
    <w:p w:rsidR="00DD1FF2" w:rsidRDefault="00DD1FF2" w:rsidP="00DD1FF2">
      <w:pPr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Sesion informues do të mbahet:</w:t>
      </w:r>
    </w:p>
    <w:p w:rsidR="00DD1FF2" w:rsidRDefault="00DD1FF2" w:rsidP="00DD1F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Datë: </w:t>
      </w:r>
      <w:r>
        <w:rPr>
          <w:b/>
          <w:bCs/>
          <w:color w:val="000000"/>
          <w:sz w:val="24"/>
          <w:szCs w:val="24"/>
        </w:rPr>
        <w:t>24.10.2024</w:t>
      </w:r>
    </w:p>
    <w:p w:rsidR="00DD1FF2" w:rsidRDefault="00DD1FF2" w:rsidP="00DD1FF2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Koha: </w:t>
      </w:r>
      <w:r>
        <w:rPr>
          <w:b/>
          <w:bCs/>
          <w:color w:val="000000"/>
          <w:sz w:val="24"/>
          <w:szCs w:val="24"/>
        </w:rPr>
        <w:t>10:00</w:t>
      </w:r>
    </w:p>
    <w:p w:rsidR="00DD1FF2" w:rsidRDefault="00DD1FF2" w:rsidP="00DD1FF2">
      <w:pPr>
        <w:jc w:val="both"/>
        <w:rPr>
          <w:color w:val="000000"/>
          <w:sz w:val="24"/>
          <w:szCs w:val="24"/>
        </w:rPr>
      </w:pPr>
      <w:r w:rsidRPr="00263CE2">
        <w:rPr>
          <w:bCs/>
          <w:color w:val="000000"/>
          <w:sz w:val="24"/>
          <w:szCs w:val="24"/>
        </w:rPr>
        <w:t>Salla</w:t>
      </w:r>
      <w:r>
        <w:rPr>
          <w:b/>
          <w:bCs/>
          <w:color w:val="000000"/>
          <w:sz w:val="24"/>
          <w:szCs w:val="24"/>
        </w:rPr>
        <w:t>: P37</w:t>
      </w:r>
    </w:p>
    <w:p w:rsidR="00DD1FF2" w:rsidRDefault="00DD1FF2" w:rsidP="00DD1FF2"/>
    <w:p w:rsidR="00AE1D55" w:rsidRPr="00DD1FF2" w:rsidRDefault="00AE1D55" w:rsidP="00DD1FF2">
      <w:pPr>
        <w:tabs>
          <w:tab w:val="left" w:pos="1305"/>
        </w:tabs>
        <w:rPr>
          <w:rFonts w:ascii="Book Antiqua" w:eastAsia="Times New Roman" w:hAnsi="Book Antiqua" w:cs="Times New Roman"/>
          <w:sz w:val="24"/>
          <w:szCs w:val="24"/>
          <w:lang w:eastAsia="sr-Latn-CS"/>
        </w:rPr>
      </w:pPr>
    </w:p>
    <w:sectPr w:rsidR="00AE1D55" w:rsidRPr="00DD1FF2" w:rsidSect="003251BD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DD" w:rsidRDefault="00ED35DD" w:rsidP="009A343F">
      <w:pPr>
        <w:spacing w:after="0" w:line="240" w:lineRule="auto"/>
      </w:pPr>
      <w:r>
        <w:separator/>
      </w:r>
    </w:p>
  </w:endnote>
  <w:endnote w:type="continuationSeparator" w:id="0">
    <w:p w:rsidR="00ED35DD" w:rsidRDefault="00ED35DD" w:rsidP="009A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278897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b/>
          </w:rPr>
          <w:id w:val="-1856722643"/>
          <w:docPartObj>
            <w:docPartGallery w:val="Page Numbers (Top of Page)"/>
            <w:docPartUnique/>
          </w:docPartObj>
        </w:sdtPr>
        <w:sdtEndPr/>
        <w:sdtContent>
          <w:p w:rsidR="00BA4EF6" w:rsidRPr="00BA4EF6" w:rsidRDefault="00BA4EF6">
            <w:pPr>
              <w:pStyle w:val="Footer"/>
              <w:jc w:val="center"/>
              <w:rPr>
                <w:b/>
              </w:rPr>
            </w:pPr>
            <w:r w:rsidRPr="00BA4EF6">
              <w:rPr>
                <w:b/>
                <w:bCs/>
                <w:sz w:val="24"/>
                <w:szCs w:val="24"/>
              </w:rPr>
              <w:fldChar w:fldCharType="begin"/>
            </w:r>
            <w:r w:rsidRPr="00BA4EF6">
              <w:rPr>
                <w:b/>
                <w:bCs/>
              </w:rPr>
              <w:instrText xml:space="preserve"> PAGE </w:instrText>
            </w:r>
            <w:r w:rsidRPr="00BA4EF6">
              <w:rPr>
                <w:b/>
                <w:bCs/>
                <w:sz w:val="24"/>
                <w:szCs w:val="24"/>
              </w:rPr>
              <w:fldChar w:fldCharType="separate"/>
            </w:r>
            <w:r w:rsidR="00DD1FF2">
              <w:rPr>
                <w:b/>
                <w:bCs/>
                <w:noProof/>
              </w:rPr>
              <w:t>1</w:t>
            </w:r>
            <w:r w:rsidRPr="00BA4EF6">
              <w:rPr>
                <w:b/>
                <w:bCs/>
                <w:sz w:val="24"/>
                <w:szCs w:val="24"/>
              </w:rPr>
              <w:fldChar w:fldCharType="end"/>
            </w:r>
            <w:r w:rsidRPr="00BA4EF6">
              <w:rPr>
                <w:b/>
              </w:rPr>
              <w:t xml:space="preserve"> / </w:t>
            </w:r>
            <w:r w:rsidRPr="00BA4EF6">
              <w:rPr>
                <w:b/>
                <w:bCs/>
                <w:sz w:val="24"/>
                <w:szCs w:val="24"/>
              </w:rPr>
              <w:fldChar w:fldCharType="begin"/>
            </w:r>
            <w:r w:rsidRPr="00BA4EF6">
              <w:rPr>
                <w:b/>
                <w:bCs/>
              </w:rPr>
              <w:instrText xml:space="preserve"> NUMPAGES  </w:instrText>
            </w:r>
            <w:r w:rsidRPr="00BA4EF6">
              <w:rPr>
                <w:b/>
                <w:bCs/>
                <w:sz w:val="24"/>
                <w:szCs w:val="24"/>
              </w:rPr>
              <w:fldChar w:fldCharType="separate"/>
            </w:r>
            <w:r w:rsidR="00DD1FF2">
              <w:rPr>
                <w:b/>
                <w:bCs/>
                <w:noProof/>
              </w:rPr>
              <w:t>1</w:t>
            </w:r>
            <w:r w:rsidRPr="00BA4E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343F" w:rsidRDefault="009A3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DD" w:rsidRDefault="00ED35DD" w:rsidP="009A343F">
      <w:pPr>
        <w:spacing w:after="0" w:line="240" w:lineRule="auto"/>
      </w:pPr>
      <w:r>
        <w:separator/>
      </w:r>
    </w:p>
  </w:footnote>
  <w:footnote w:type="continuationSeparator" w:id="0">
    <w:p w:rsidR="00ED35DD" w:rsidRDefault="00ED35DD" w:rsidP="009A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10A"/>
    <w:multiLevelType w:val="hybridMultilevel"/>
    <w:tmpl w:val="126CF910"/>
    <w:lvl w:ilvl="0" w:tplc="02F240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0A48"/>
    <w:multiLevelType w:val="hybridMultilevel"/>
    <w:tmpl w:val="896EC9C0"/>
    <w:lvl w:ilvl="0" w:tplc="ADECCF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7563"/>
    <w:multiLevelType w:val="hybridMultilevel"/>
    <w:tmpl w:val="0528079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733E"/>
    <w:multiLevelType w:val="hybridMultilevel"/>
    <w:tmpl w:val="CFE8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4C71"/>
    <w:multiLevelType w:val="hybridMultilevel"/>
    <w:tmpl w:val="90AE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C8C"/>
    <w:multiLevelType w:val="hybridMultilevel"/>
    <w:tmpl w:val="805CB09C"/>
    <w:lvl w:ilvl="0" w:tplc="DF66F35A">
      <w:numFmt w:val="bullet"/>
      <w:lvlText w:val="·"/>
      <w:lvlJc w:val="left"/>
      <w:pPr>
        <w:ind w:left="780" w:hanging="360"/>
      </w:pPr>
      <w:rPr>
        <w:rFonts w:ascii="Book Antiqua" w:eastAsia="Calibri" w:hAnsi="Book Antiqua" w:cs="Times New Roman" w:hint="default"/>
        <w:b w:val="0"/>
        <w:i w:val="0"/>
      </w:rPr>
    </w:lvl>
    <w:lvl w:ilvl="1" w:tplc="041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2B315D"/>
    <w:multiLevelType w:val="hybridMultilevel"/>
    <w:tmpl w:val="10783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4D69"/>
    <w:multiLevelType w:val="hybridMultilevel"/>
    <w:tmpl w:val="886AD3C0"/>
    <w:lvl w:ilvl="0" w:tplc="39A2875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06D79"/>
    <w:multiLevelType w:val="hybridMultilevel"/>
    <w:tmpl w:val="2370F5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DCB1C2A"/>
    <w:multiLevelType w:val="hybridMultilevel"/>
    <w:tmpl w:val="51EE731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9F"/>
    <w:rsid w:val="0002672D"/>
    <w:rsid w:val="00070C70"/>
    <w:rsid w:val="000A0F43"/>
    <w:rsid w:val="000A7956"/>
    <w:rsid w:val="000B5D70"/>
    <w:rsid w:val="000C4209"/>
    <w:rsid w:val="000D21F9"/>
    <w:rsid w:val="001010A3"/>
    <w:rsid w:val="001340B4"/>
    <w:rsid w:val="00184455"/>
    <w:rsid w:val="00195B72"/>
    <w:rsid w:val="001B226B"/>
    <w:rsid w:val="001C40DE"/>
    <w:rsid w:val="001C4A96"/>
    <w:rsid w:val="0020634F"/>
    <w:rsid w:val="00211E20"/>
    <w:rsid w:val="00236D67"/>
    <w:rsid w:val="0026022F"/>
    <w:rsid w:val="0028317B"/>
    <w:rsid w:val="00286061"/>
    <w:rsid w:val="002B140A"/>
    <w:rsid w:val="002C40FE"/>
    <w:rsid w:val="002D06BA"/>
    <w:rsid w:val="002D7D05"/>
    <w:rsid w:val="003178FF"/>
    <w:rsid w:val="003251BD"/>
    <w:rsid w:val="00352B08"/>
    <w:rsid w:val="003545F4"/>
    <w:rsid w:val="00361B89"/>
    <w:rsid w:val="00363F5C"/>
    <w:rsid w:val="0039272D"/>
    <w:rsid w:val="003A0A8B"/>
    <w:rsid w:val="003C43DE"/>
    <w:rsid w:val="003C6C0C"/>
    <w:rsid w:val="0041386A"/>
    <w:rsid w:val="00422573"/>
    <w:rsid w:val="00425B3D"/>
    <w:rsid w:val="0044564B"/>
    <w:rsid w:val="0046514D"/>
    <w:rsid w:val="00485E40"/>
    <w:rsid w:val="004C5378"/>
    <w:rsid w:val="004C7A32"/>
    <w:rsid w:val="004D2F12"/>
    <w:rsid w:val="004E2B35"/>
    <w:rsid w:val="00504043"/>
    <w:rsid w:val="00573F5A"/>
    <w:rsid w:val="005B16D8"/>
    <w:rsid w:val="005B47D0"/>
    <w:rsid w:val="005B5C08"/>
    <w:rsid w:val="005C06B8"/>
    <w:rsid w:val="005D6F08"/>
    <w:rsid w:val="005E1818"/>
    <w:rsid w:val="005E280D"/>
    <w:rsid w:val="00634CF3"/>
    <w:rsid w:val="0063591C"/>
    <w:rsid w:val="006440CA"/>
    <w:rsid w:val="006725E2"/>
    <w:rsid w:val="00693953"/>
    <w:rsid w:val="006B785A"/>
    <w:rsid w:val="006F12C6"/>
    <w:rsid w:val="006F1C6A"/>
    <w:rsid w:val="0071148D"/>
    <w:rsid w:val="00724E50"/>
    <w:rsid w:val="00725AC5"/>
    <w:rsid w:val="00740A1C"/>
    <w:rsid w:val="00745F42"/>
    <w:rsid w:val="0076057C"/>
    <w:rsid w:val="007A2151"/>
    <w:rsid w:val="007A5DE6"/>
    <w:rsid w:val="007A7679"/>
    <w:rsid w:val="007B6F08"/>
    <w:rsid w:val="007D0104"/>
    <w:rsid w:val="007D716A"/>
    <w:rsid w:val="007F0079"/>
    <w:rsid w:val="007F43CB"/>
    <w:rsid w:val="00825142"/>
    <w:rsid w:val="00864DEF"/>
    <w:rsid w:val="00874662"/>
    <w:rsid w:val="0088119A"/>
    <w:rsid w:val="008B77E6"/>
    <w:rsid w:val="008C2DDE"/>
    <w:rsid w:val="008D7DEE"/>
    <w:rsid w:val="008F17A2"/>
    <w:rsid w:val="008F308C"/>
    <w:rsid w:val="009271BE"/>
    <w:rsid w:val="00934889"/>
    <w:rsid w:val="00935446"/>
    <w:rsid w:val="00940E3B"/>
    <w:rsid w:val="009414AD"/>
    <w:rsid w:val="00953EC9"/>
    <w:rsid w:val="009613EB"/>
    <w:rsid w:val="00966692"/>
    <w:rsid w:val="0099165B"/>
    <w:rsid w:val="009A343F"/>
    <w:rsid w:val="009A3BA7"/>
    <w:rsid w:val="009A446B"/>
    <w:rsid w:val="009B7C9F"/>
    <w:rsid w:val="009D35DC"/>
    <w:rsid w:val="00A111E1"/>
    <w:rsid w:val="00A333B5"/>
    <w:rsid w:val="00A47E92"/>
    <w:rsid w:val="00A9741D"/>
    <w:rsid w:val="00AA642F"/>
    <w:rsid w:val="00AB6E43"/>
    <w:rsid w:val="00AD4367"/>
    <w:rsid w:val="00AE1D55"/>
    <w:rsid w:val="00B3653E"/>
    <w:rsid w:val="00B51F4E"/>
    <w:rsid w:val="00B70F7C"/>
    <w:rsid w:val="00B92CDE"/>
    <w:rsid w:val="00BA4EF6"/>
    <w:rsid w:val="00BD15BB"/>
    <w:rsid w:val="00BF4340"/>
    <w:rsid w:val="00C179F8"/>
    <w:rsid w:val="00C90EB5"/>
    <w:rsid w:val="00C96D5C"/>
    <w:rsid w:val="00CA2498"/>
    <w:rsid w:val="00CE30C2"/>
    <w:rsid w:val="00CF2F68"/>
    <w:rsid w:val="00D3705D"/>
    <w:rsid w:val="00D53669"/>
    <w:rsid w:val="00D647B5"/>
    <w:rsid w:val="00D76832"/>
    <w:rsid w:val="00DA53C2"/>
    <w:rsid w:val="00DB5E96"/>
    <w:rsid w:val="00DC4F16"/>
    <w:rsid w:val="00DD1FF2"/>
    <w:rsid w:val="00DE3FCC"/>
    <w:rsid w:val="00E640B9"/>
    <w:rsid w:val="00E70EF3"/>
    <w:rsid w:val="00E80FFF"/>
    <w:rsid w:val="00E91442"/>
    <w:rsid w:val="00E97A3A"/>
    <w:rsid w:val="00EA4DA1"/>
    <w:rsid w:val="00ED35DD"/>
    <w:rsid w:val="00EE4916"/>
    <w:rsid w:val="00EF5B22"/>
    <w:rsid w:val="00F00EAA"/>
    <w:rsid w:val="00F140A2"/>
    <w:rsid w:val="00F158D1"/>
    <w:rsid w:val="00F20C5C"/>
    <w:rsid w:val="00F27A16"/>
    <w:rsid w:val="00F46FD9"/>
    <w:rsid w:val="00F75330"/>
    <w:rsid w:val="00F77E89"/>
    <w:rsid w:val="00F943ED"/>
    <w:rsid w:val="00FA5C92"/>
    <w:rsid w:val="00F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E3089"/>
  <w15:docId w15:val="{4B550E50-1C40-4A82-B557-463A740D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9F"/>
    <w:pPr>
      <w:spacing w:line="256" w:lineRule="auto"/>
    </w:pPr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C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43F"/>
  </w:style>
  <w:style w:type="paragraph" w:styleId="Footer">
    <w:name w:val="footer"/>
    <w:basedOn w:val="Normal"/>
    <w:link w:val="FooterChar"/>
    <w:uiPriority w:val="99"/>
    <w:unhideWhenUsed/>
    <w:rsid w:val="009A3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43F"/>
  </w:style>
  <w:style w:type="paragraph" w:styleId="FootnoteText">
    <w:name w:val="footnote text"/>
    <w:basedOn w:val="Normal"/>
    <w:link w:val="FootnoteTextChar"/>
    <w:uiPriority w:val="99"/>
    <w:semiHidden/>
    <w:unhideWhenUsed/>
    <w:rsid w:val="004D2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F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F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491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4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88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EF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2D24-8BE5-4075-BC4F-0A443E6F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Leutrim Zabelaj</dc:creator>
  <cp:lastModifiedBy>Safete Graicevci</cp:lastModifiedBy>
  <cp:revision>4</cp:revision>
  <dcterms:created xsi:type="dcterms:W3CDTF">2024-10-16T12:25:00Z</dcterms:created>
  <dcterms:modified xsi:type="dcterms:W3CDTF">2024-10-16T12:49:00Z</dcterms:modified>
</cp:coreProperties>
</file>