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79" w:rsidRPr="008E42F4" w:rsidRDefault="00175679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bookmarkStart w:id="0" w:name="_GoBack"/>
      <w:bookmarkEnd w:id="0"/>
    </w:p>
    <w:p w:rsidR="00401875" w:rsidRPr="008E42F4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color w:val="000000" w:themeColor="text1"/>
          <w:sz w:val="24"/>
          <w:szCs w:val="24"/>
          <w:lang w:val="en-US"/>
        </w:rPr>
        <w:drawing>
          <wp:inline distT="0" distB="0" distL="0" distR="0" wp14:anchorId="27E3A68D" wp14:editId="6379267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75" w:rsidRPr="008E42F4" w:rsidRDefault="00401875" w:rsidP="0040187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Book Antiqua"/>
          <w:b/>
          <w:bCs/>
          <w:noProof w:val="0"/>
          <w:color w:val="000000" w:themeColor="text1"/>
          <w:sz w:val="24"/>
          <w:szCs w:val="24"/>
          <w:lang w:val="sr-Latn-RS"/>
        </w:rPr>
        <w:t>Republika e Kosovës</w:t>
      </w:r>
    </w:p>
    <w:p w:rsidR="00401875" w:rsidRPr="008E42F4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4"/>
          <w:szCs w:val="24"/>
          <w:lang w:val="sr-Latn-RS"/>
        </w:rPr>
        <w:t xml:space="preserve">Republika Kosova - </w:t>
      </w:r>
      <w:r w:rsidRPr="008E42F4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4"/>
          <w:szCs w:val="24"/>
          <w:lang w:val="sr-Latn-RS"/>
        </w:rPr>
        <w:t>Republic of Kosovo</w:t>
      </w:r>
    </w:p>
    <w:p w:rsidR="00401875" w:rsidRPr="008E42F4" w:rsidRDefault="00401875" w:rsidP="0040187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4"/>
          <w:lang w:val="sr-Latn-RS"/>
        </w:rPr>
        <w:t>Qeveria - Vlada - Government</w:t>
      </w:r>
    </w:p>
    <w:p w:rsidR="00401875" w:rsidRPr="008E42F4" w:rsidRDefault="00401875" w:rsidP="004018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8E42F4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4"/>
          <w:szCs w:val="24"/>
          <w:lang w:val="sr-Latn-RS"/>
        </w:rPr>
        <w:tab/>
      </w:r>
    </w:p>
    <w:p w:rsidR="00401875" w:rsidRPr="008E42F4" w:rsidRDefault="00401875" w:rsidP="004018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</w:t>
      </w:r>
    </w:p>
    <w:p w:rsidR="00401875" w:rsidRPr="008E42F4" w:rsidRDefault="00401875" w:rsidP="0040187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</w:t>
      </w:r>
      <w:r w:rsidR="00724E03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         </w:t>
      </w:r>
      <w:r w:rsidR="00B017D5"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B</w:t>
      </w:r>
      <w:r w:rsidR="00175679"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r. </w:t>
      </w:r>
      <w:r w:rsidR="008B5299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01</w:t>
      </w:r>
      <w:r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/</w:t>
      </w:r>
      <w:r w:rsidR="008B5299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19</w:t>
      </w:r>
    </w:p>
    <w:p w:rsidR="00401875" w:rsidRPr="008E42F4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Dat</w:t>
      </w:r>
      <w:r w:rsidR="00B017D5"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um</w:t>
      </w:r>
      <w:r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:</w:t>
      </w:r>
      <w:r w:rsidR="008B5299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30.03.2020</w:t>
      </w:r>
      <w:r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</w:t>
      </w:r>
    </w:p>
    <w:p w:rsidR="00401875" w:rsidRPr="008E42F4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E77AA2" w:rsidRPr="008E42F4" w:rsidRDefault="00B017D5" w:rsidP="0040187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hAnsi="Book Antiqua"/>
          <w:noProof w:val="0"/>
          <w:color w:val="000000" w:themeColor="text1"/>
          <w:sz w:val="24"/>
          <w:szCs w:val="24"/>
          <w:lang w:val="sr-Latn-RS"/>
        </w:rPr>
        <w:t>Na osnovu člana 92 stav 4 i člana 93 stav (4) Ustava Republike Kosovo,</w:t>
      </w:r>
      <w:r w:rsidR="00DD513B" w:rsidRPr="00BB1AAE">
        <w:rPr>
          <w:rFonts w:ascii="Book Antiqua" w:eastAsia="MS Mincho" w:hAnsi="Book Antiqua"/>
          <w:noProof w:val="0"/>
          <w:color w:val="000000"/>
        </w:rPr>
        <w:t xml:space="preserve"> </w:t>
      </w:r>
      <w:r w:rsidRPr="008E42F4">
        <w:rPr>
          <w:rFonts w:ascii="Book Antiqua" w:hAnsi="Book Antiqua"/>
          <w:noProof w:val="0"/>
          <w:color w:val="000000" w:themeColor="text1"/>
          <w:sz w:val="24"/>
          <w:szCs w:val="24"/>
          <w:lang w:val="sr-Latn-RS"/>
        </w:rPr>
        <w:t xml:space="preserve">na osnovu člana 4 </w:t>
      </w:r>
      <w:r w:rsidR="003455F0">
        <w:rPr>
          <w:rFonts w:ascii="Book Antiqua" w:hAnsi="Book Antiqua"/>
          <w:noProof w:val="0"/>
          <w:color w:val="000000" w:themeColor="text1"/>
          <w:sz w:val="24"/>
          <w:szCs w:val="24"/>
          <w:lang w:val="sr-Latn-RS"/>
        </w:rPr>
        <w:t xml:space="preserve">stav 2.1. </w:t>
      </w:r>
      <w:r w:rsidRPr="008E42F4">
        <w:rPr>
          <w:rFonts w:ascii="Book Antiqua" w:hAnsi="Book Antiqua"/>
          <w:noProof w:val="0"/>
          <w:color w:val="000000" w:themeColor="text1"/>
          <w:sz w:val="24"/>
          <w:szCs w:val="24"/>
          <w:lang w:val="sr-Latn-RS"/>
        </w:rPr>
        <w:t xml:space="preserve">Uredbe br. 05/2020 o oblastima administrativne odgovornosti Kancelarije premijera i ministarstava, u skladu sa članom </w:t>
      </w:r>
      <w:r w:rsidR="008E42F4" w:rsidRPr="008E42F4">
        <w:rPr>
          <w:rFonts w:ascii="Book Antiqua" w:hAnsi="Book Antiqua"/>
          <w:noProof w:val="0"/>
          <w:color w:val="000000" w:themeColor="text1"/>
          <w:sz w:val="24"/>
          <w:szCs w:val="24"/>
          <w:lang w:val="sr-Latn-RS"/>
        </w:rPr>
        <w:t xml:space="preserve"> 19 </w:t>
      </w:r>
      <w:r w:rsidRPr="008E42F4">
        <w:rPr>
          <w:rFonts w:ascii="Book Antiqua" w:hAnsi="Book Antiqua"/>
          <w:noProof w:val="0"/>
          <w:color w:val="000000" w:themeColor="text1"/>
          <w:sz w:val="24"/>
          <w:szCs w:val="24"/>
          <w:lang w:val="sr-Latn-RS"/>
        </w:rPr>
        <w:t xml:space="preserve">Poslovnika </w:t>
      </w:r>
      <w:r w:rsidR="00B02257">
        <w:rPr>
          <w:rFonts w:ascii="Book Antiqua" w:hAnsi="Book Antiqua"/>
          <w:noProof w:val="0"/>
          <w:color w:val="000000" w:themeColor="text1"/>
          <w:sz w:val="24"/>
          <w:szCs w:val="24"/>
          <w:lang w:val="sr-Latn-RS"/>
        </w:rPr>
        <w:t xml:space="preserve">o radu </w:t>
      </w:r>
      <w:r w:rsidRPr="008E42F4">
        <w:rPr>
          <w:rFonts w:ascii="Book Antiqua" w:hAnsi="Book Antiqua"/>
          <w:noProof w:val="0"/>
          <w:color w:val="000000" w:themeColor="text1"/>
          <w:sz w:val="24"/>
          <w:szCs w:val="24"/>
          <w:lang w:val="sr-Latn-RS"/>
        </w:rPr>
        <w:t>Vlade</w:t>
      </w:r>
      <w:r w:rsidR="003455F0">
        <w:rPr>
          <w:rFonts w:ascii="Book Antiqua" w:hAnsi="Book Antiqua"/>
          <w:noProof w:val="0"/>
          <w:color w:val="000000" w:themeColor="text1"/>
          <w:sz w:val="24"/>
          <w:szCs w:val="24"/>
          <w:lang w:val="sr-Latn-RS"/>
        </w:rPr>
        <w:t xml:space="preserve"> Republike Kosovo br. 09/2011:</w:t>
      </w:r>
    </w:p>
    <w:p w:rsidR="00B02257" w:rsidRDefault="00B02257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401875" w:rsidRPr="008E42F4" w:rsidRDefault="00B017D5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O D L U K </w:t>
      </w:r>
      <w:r w:rsidR="003455F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E</w:t>
      </w:r>
    </w:p>
    <w:p w:rsidR="00BB088F" w:rsidRPr="008E42F4" w:rsidRDefault="00BB088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55F0" w:rsidRPr="003455F0" w:rsidRDefault="008F537E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Usvojen je f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iskalni hitni paket sa sledećim merama:</w:t>
      </w:r>
    </w:p>
    <w:p w:rsidR="003455F0" w:rsidRP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55F0" w:rsidRP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1.1. Dvostruka isplata vrednosti socijalne šeme za sve korisnike socijalnih šema za april i maj</w:t>
      </w:r>
      <w:r w:rsid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mesec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, u iznosu do sedam miliona i šest stotina pedeset hiljada (7,650,000.00 €), uključujući </w:t>
      </w:r>
      <w:r w:rsid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tu i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uplatu izvr</w:t>
      </w:r>
      <w:r w:rsidRPr="003455F0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š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enu u martu</w:t>
      </w:r>
      <w:r w:rsid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mesecu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;</w:t>
      </w:r>
    </w:p>
    <w:p w:rsidR="003455F0" w:rsidRP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55F0" w:rsidRP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1.2. </w:t>
      </w:r>
      <w:r w:rsid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Dodatna 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doplata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u iznosu od trideset (30 €) 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evra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mesečno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,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svim korisnicima socijalnih i penzijskih </w:t>
      </w:r>
      <w:r w:rsid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šema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koji primaju mesečna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plačanja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u iznosu manjem od sto (100 €) evra za april, maj i jun</w:t>
      </w:r>
      <w:r w:rsid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mesec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, pod uslovom da </w:t>
      </w:r>
      <w:r w:rsid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su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korisnici samo jedne šeme; i </w:t>
      </w:r>
      <w:r w:rsid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ponovno vračanje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na spiskove korisnik</w:t>
      </w:r>
      <w:r w:rsid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a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,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korisnike kojima zbog nepo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javljivanja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ili ne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izvršene procene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u periodu januar 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–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mart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mesec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2020. nisu obnovljena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njihova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prava. Ova mera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je u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vred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nosti do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trinaest miliona (13 000 000,00)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evra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;</w:t>
      </w:r>
    </w:p>
    <w:p w:rsidR="003455F0" w:rsidRP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55F0" w:rsidRP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1.3. Finansijska podrška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trgovačkim društvma koji se nalaze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u finansijskim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teškočama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kao rezultat pada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njihove aktvnosti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zbog vanredne situacije u javnom zdravstvu, kao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što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sledi:</w:t>
      </w:r>
    </w:p>
    <w:p w:rsidR="003455F0" w:rsidRP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55F0" w:rsidRPr="003455F0" w:rsidRDefault="003455F0" w:rsidP="003455F0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1.3.1. Pokrivanje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troškova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mesečnih zarada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za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zaposlen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e,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u iznosu od sto sedamdeset (170) evra, za april i maj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mesec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,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mera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do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iznosa od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četrdeset i jednog miliona (41 000 000,00 evra);</w:t>
      </w:r>
    </w:p>
    <w:p w:rsidR="003455F0" w:rsidRPr="003455F0" w:rsidRDefault="003455F0" w:rsidP="003455F0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55F0" w:rsidRPr="003455F0" w:rsidRDefault="003455F0" w:rsidP="003455F0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1.3.2. Subvencija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za zakup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do pedeset (50%) vrednosti zakupa za mala i srednja preduzeća za april i maj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mesec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,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mera u iznosu od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od dvanaest miliona (12 000 000 €); i</w:t>
      </w:r>
    </w:p>
    <w:p w:rsidR="003455F0" w:rsidRPr="003455F0" w:rsidRDefault="003455F0" w:rsidP="003455F0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55F0" w:rsidRDefault="003455F0" w:rsidP="003455F0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1.3.3. Pokrivanje vrednosti penzijskih doprinosa za plate vezano za mere predviđene ovom odlukom za april i maj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mesec do vrednosti od osam</w:t>
      </w:r>
      <w:r w:rsidR="00614232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 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(8.000 000</w:t>
      </w:r>
      <w:r w:rsidR="00614232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.</w:t>
      </w:r>
      <w:r w:rsidR="00453BE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00) miliona evra</w:t>
      </w:r>
    </w:p>
    <w:p w:rsid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55F0" w:rsidRP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lastRenderedPageBreak/>
        <w:t xml:space="preserve">1.4. Omogućavanje beskamatnog kreditiranja </w:t>
      </w:r>
      <w:r w:rsidR="00614232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javnih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preduzeća koja imaju finansijskih teškoća zbog vanredne situacije u javnom zdravstvu, u cilju obezbeđenja njihove privremene likvidnosti, sa povratom do 31.12.2020., </w:t>
      </w:r>
      <w:r w:rsidR="00614232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u vrednosti do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dvadeset </w:t>
      </w:r>
      <w:r w:rsidR="00614232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miliona (20.000.000,00 €) ) evra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;</w:t>
      </w:r>
    </w:p>
    <w:p w:rsidR="003455F0" w:rsidRP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55F0" w:rsidRP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1.5. Pružanje dodatne finansijske podrške opštinama Republike Kosovo </w:t>
      </w:r>
      <w:r w:rsidR="00614232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koje su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pogođen</w:t>
      </w:r>
      <w:r w:rsidR="00614232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e suočavanjem sa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pandem</w:t>
      </w:r>
      <w:r w:rsidR="00614232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ij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om, </w:t>
      </w:r>
      <w:r w:rsidR="00614232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u slučaju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potreb</w:t>
      </w:r>
      <w:r w:rsidR="00614232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zbog eventualnog produženja vanredne situacije u javnom zdravstvu, </w:t>
      </w:r>
      <w:r w:rsidR="00614232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u vrednosti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do deset miliona (10.000.000,00 €) evra;</w:t>
      </w:r>
    </w:p>
    <w:p w:rsidR="003455F0" w:rsidRPr="003455F0" w:rsidRDefault="003455F0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3455F0" w:rsidRDefault="00614232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1.6. Obezbeđivanje dodatka n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a zaradu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u vrednosti 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od trist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a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(300 €)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evra za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terensk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radnik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koji su direktno izloženi riziku da se zaraze na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svom 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radnom mestu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(ne svim zaposlenima u 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instituciji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): Medicinsko osoblje (lekari i medicinske sestre), policajci Kosovsk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 policije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, službenici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(stražari)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Popravne službe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, 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s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lužbenici Agencije za upravljanje kriznim situacijama (vatrogasci), osoblje (vojnici)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BSK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, karantinski radnici - Prištinski studentski centar, službenici inspektorata za rad, službenici (inspektori) Poreske uprave Kosova, 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Službenici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(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carin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ici</w:t>
      </w:r>
      <w:r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) Carine 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Kosova, službenici (inspektori) Tržišne inspekcije, službenici (inspektori) nadležnih opštinskih inspekcija, službenici Inspektorata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medicine 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rada, za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april</w:t>
      </w:r>
      <w:r w:rsidR="005135F9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i maj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</w:t>
      </w:r>
      <w:r w:rsidR="005135F9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mesec 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do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vrednosti od </w:t>
      </w:r>
      <w:r w:rsidR="003455F0" w:rsidRPr="003455F0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petnaest miliona evra (15.000.000,00 €);</w:t>
      </w:r>
    </w:p>
    <w:p w:rsidR="008F537E" w:rsidRDefault="008F537E" w:rsidP="003455F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1.7. Doplata od sto (100 €) evra zaposlenima u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prodavnicama s’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prehrambenim proizvodima, pekarama i apotekama za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apri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i maj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mesec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,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u vrednosi do tri miliona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€ 3,000,000.00)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evra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;</w:t>
      </w: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1.8. Isplata mesečne pomoći u iznosu od sto trideset (130 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€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)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evra,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gra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đ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anima koji izgube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svoje radno mesto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zbog vanredne zdravstvene situacije, za april, maj i jun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mesec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,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u vrednosti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do 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č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etiri miliona (4.000.000,00) 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€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) evr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a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;</w:t>
      </w: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1.9. Podrška inicijativama i projektima koji imaju za cilj poboljšanje života nevećinskih zajednica u Republici Kosovo koje su najte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ž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 pogo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đene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vanredn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om situacijom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u javnom zdravstvu,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u vrednosti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do dva miliona (2.000.000,00 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€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) evra;</w:t>
      </w: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1.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10. Obezbeđivanje finansijske likvidnosti za:</w:t>
      </w:r>
    </w:p>
    <w:p w:rsid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Pr="008F537E" w:rsidRDefault="008F537E" w:rsidP="008F537E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1.10.1. Mikro preduzeća i samozaposlen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preko određenih programa Kosovskog fonda za kredit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nu </w:t>
      </w:r>
      <w:r w:rsidR="00F75386"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garanciju 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Kosov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a u iznosu 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do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deset hiljada (10.000 €) 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evra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u periodu od 24 meseca, do petnaest miliona (15.000.000,00 €)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evra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; i</w:t>
      </w:r>
    </w:p>
    <w:p w:rsidR="008F537E" w:rsidRPr="008F537E" w:rsidRDefault="008F537E" w:rsidP="008F537E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Pr="008F537E" w:rsidRDefault="008F537E" w:rsidP="008F537E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.10.2. 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Trgovačka društva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/ o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vlašćene kompanije koje pružaju osnovne usluge (slične onima u javnim preduzećima)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s’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povratk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om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do 31.12.2020.,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u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vrednosti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utvrđenoj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u 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tački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1.4. ove odluke.</w:t>
      </w: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.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11. Poveća</w:t>
      </w:r>
      <w:r w:rsidR="005135F9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nje budžeta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za 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nepovratna sredsva (grantve)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i subvencije Ministarstvu poljoprivrede, šumarstva i ruralnog razvoja za povećanje poljoprivredne proizvodnje, u iznosu od pet miliona (5.000.000,00 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€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);</w:t>
      </w: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</w:t>
      </w:r>
      <w:r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.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12. Poveća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nje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budžet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a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za grantove i subvencije 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u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Ministarstv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u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kulture, omladine i sporta kako bi se izbegla situacija stvorena vanrednom situacijom javnog zdravlja u sportskim i kulturnim aktivnostima, u iznosu od pet miliona (5.000.000,00 €);</w:t>
      </w:r>
    </w:p>
    <w:p w:rsid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1.13. Podrška izvoznicima u Republici Kosovo nakon završetka vanredne situacije u javnom zdravstvu, u vrednosti od deset miliona (10 000 000,00 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evra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);</w:t>
      </w: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1.14. Finansijska podrška 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trgovačkim društvima koja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registruju zaposlene sa najmanje jedn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ood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godišnjim 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(1)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ugovorom o radu tokom vanredn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 situacije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u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javno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m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zdravlju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, od sto trideset (130) evra za naredna dva meseca nakon registracije, do vrednosti do šest miliona (6.000.000,00 €); i</w:t>
      </w: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1.15. Isplata mesečne pomoći u iznosu od sto trideset (130 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€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) evra gra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đ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anima sa te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š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kim socijalnim uslovima, koji su pr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ijavljeni kao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nezaposleni u nadle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ž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noj instituciji, a koji nisu korisnici nikakvog mesečnog dohotka iz kosovskog budžeta, za april, </w:t>
      </w:r>
      <w:r w:rsidR="00B25F6A"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maj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i jun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i mesec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, do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vrednosti od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tri miliona evra (3.000.000,00 evra);</w:t>
      </w:r>
    </w:p>
    <w:p w:rsid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2. 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Ministar finansija i transfera s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 ovlašć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uje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da donese odluku o potrebnim merama predvi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đ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enim u hitnom fiskalnom paketu radi utvr</w:t>
      </w:r>
      <w:r w:rsidRPr="008F537E">
        <w:rPr>
          <w:rFonts w:ascii="Book Antiqua" w:eastAsia="Times New Roman" w:hAnsi="Book Antiqua" w:cs="Book Antiqua"/>
          <w:noProof w:val="0"/>
          <w:sz w:val="24"/>
          <w:szCs w:val="24"/>
          <w:lang w:val="sr-Latn-RS" w:eastAsia="sq-AL"/>
        </w:rPr>
        <w:t>đ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ivanja kriterijuma,</w:t>
      </w:r>
      <w:r w:rsidR="00B25F6A" w:rsidRP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</w:t>
      </w:r>
      <w:r w:rsidR="00B25F6A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rokova,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uslova,  načina sprovođenja i svih ostalih specifi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čnosti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neophodnih za njihovu primenu, u skladu sa principima upravljanje javnim finansijama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.</w:t>
      </w: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3. Sve 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relevantne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budžetske organizacije / institucije 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su dužne da sprovedu ovu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odluk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u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kao i odluka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koj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e budu 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donet</w:t>
      </w:r>
      <w:r w:rsidR="00F75386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e</w:t>
      </w:r>
      <w:r w:rsidR="00B02257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 xml:space="preserve"> </w:t>
      </w: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u skladu sa stavom 2. ove odluke.</w:t>
      </w:r>
    </w:p>
    <w:p w:rsidR="008F537E" w:rsidRP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</w:p>
    <w:p w:rsidR="008F537E" w:rsidRDefault="008F537E" w:rsidP="008F537E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</w:pPr>
      <w:r w:rsidRPr="008F537E">
        <w:rPr>
          <w:rFonts w:ascii="Book Antiqua" w:eastAsia="Times New Roman" w:hAnsi="Book Antiqua" w:cs="Times New Roman"/>
          <w:noProof w:val="0"/>
          <w:sz w:val="24"/>
          <w:szCs w:val="24"/>
          <w:lang w:val="sr-Latn-RS" w:eastAsia="sq-AL"/>
        </w:rPr>
        <w:t>4. Odluka stupa na snagu danom potpisivanja i sprovodi se u skladu sa važećim zakonodavstvom za upravljanje javnim finansijama</w:t>
      </w:r>
    </w:p>
    <w:p w:rsidR="003455F0" w:rsidRDefault="003455F0" w:rsidP="0040187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3455F0" w:rsidRDefault="003455F0" w:rsidP="0040187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3455F0" w:rsidRDefault="003455F0" w:rsidP="0040187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401875" w:rsidRPr="008E42F4" w:rsidRDefault="00401875" w:rsidP="0040187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401875" w:rsidRPr="008E42F4" w:rsidRDefault="00401875" w:rsidP="008E42F4">
      <w:pPr>
        <w:spacing w:after="0" w:line="240" w:lineRule="auto"/>
        <w:ind w:left="504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         _________________________________</w:t>
      </w:r>
    </w:p>
    <w:p w:rsidR="00401875" w:rsidRPr="008E42F4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="006A6C58"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</w:t>
      </w:r>
      <w:r w:rsidR="00E77AA2"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Premije</w:t>
      </w: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Republik</w:t>
      </w:r>
      <w:r w:rsidR="00E77AA2"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e</w:t>
      </w: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Kosov</w:t>
      </w:r>
      <w:r w:rsidR="00E77AA2"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o</w:t>
      </w:r>
    </w:p>
    <w:p w:rsidR="00401875" w:rsidRPr="008E42F4" w:rsidRDefault="00E77AA2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Dostaviti</w:t>
      </w:r>
      <w:r w:rsidR="00401875" w:rsidRPr="008E42F4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:</w:t>
      </w:r>
    </w:p>
    <w:p w:rsidR="00401875" w:rsidRPr="008E42F4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401875" w:rsidRPr="008E42F4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Zamenicima Premijera</w:t>
      </w:r>
    </w:p>
    <w:p w:rsidR="00401875" w:rsidRPr="008E42F4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svim </w:t>
      </w:r>
      <w:r w:rsidR="00401875"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minist</w:t>
      </w: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a</w:t>
      </w:r>
      <w:r w:rsidR="00401875"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r</w:t>
      </w: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stv</w:t>
      </w:r>
      <w:r w:rsidR="00401875"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i</w:t>
      </w: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ma (ministrima</w:t>
      </w:r>
      <w:r w:rsidR="00401875"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)</w:t>
      </w:r>
    </w:p>
    <w:p w:rsidR="00401875" w:rsidRPr="008E42F4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Generalnom sekretaru KP</w:t>
      </w:r>
    </w:p>
    <w:p w:rsidR="00401875" w:rsidRDefault="00E77AA2" w:rsidP="009B0D5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8E42F4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Arhivi Vlade </w:t>
      </w: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C0018D" w:rsidRDefault="00C0018D" w:rsidP="00C0018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sectPr w:rsidR="00C0018D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67" w:rsidRDefault="00B75167" w:rsidP="004D6712">
      <w:pPr>
        <w:spacing w:after="0" w:line="240" w:lineRule="auto"/>
      </w:pPr>
      <w:r>
        <w:separator/>
      </w:r>
    </w:p>
  </w:endnote>
  <w:endnote w:type="continuationSeparator" w:id="0">
    <w:p w:rsidR="00B75167" w:rsidRDefault="00B75167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67" w:rsidRDefault="00B75167" w:rsidP="004D6712">
      <w:pPr>
        <w:spacing w:after="0" w:line="240" w:lineRule="auto"/>
      </w:pPr>
      <w:r>
        <w:separator/>
      </w:r>
    </w:p>
  </w:footnote>
  <w:footnote w:type="continuationSeparator" w:id="0">
    <w:p w:rsidR="00B75167" w:rsidRDefault="00B75167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F377B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3" w15:restartNumberingAfterBreak="0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0619B"/>
    <w:multiLevelType w:val="hybridMultilevel"/>
    <w:tmpl w:val="943C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7090F"/>
    <w:multiLevelType w:val="hybridMultilevel"/>
    <w:tmpl w:val="B9661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41192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16"/>
  </w:num>
  <w:num w:numId="5">
    <w:abstractNumId w:val="7"/>
  </w:num>
  <w:num w:numId="6">
    <w:abstractNumId w:val="29"/>
  </w:num>
  <w:num w:numId="7">
    <w:abstractNumId w:val="9"/>
  </w:num>
  <w:num w:numId="8">
    <w:abstractNumId w:val="20"/>
  </w:num>
  <w:num w:numId="9">
    <w:abstractNumId w:val="30"/>
  </w:num>
  <w:num w:numId="10">
    <w:abstractNumId w:val="17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3"/>
  </w:num>
  <w:num w:numId="21">
    <w:abstractNumId w:val="2"/>
  </w:num>
  <w:num w:numId="22">
    <w:abstractNumId w:val="24"/>
  </w:num>
  <w:num w:numId="23">
    <w:abstractNumId w:val="26"/>
  </w:num>
  <w:num w:numId="24">
    <w:abstractNumId w:val="31"/>
  </w:num>
  <w:num w:numId="25">
    <w:abstractNumId w:val="21"/>
  </w:num>
  <w:num w:numId="26">
    <w:abstractNumId w:val="1"/>
  </w:num>
  <w:num w:numId="27">
    <w:abstractNumId w:val="1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8"/>
  </w:num>
  <w:num w:numId="32">
    <w:abstractNumId w:val="8"/>
  </w:num>
  <w:num w:numId="33">
    <w:abstractNumId w:val="18"/>
  </w:num>
  <w:num w:numId="3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C37"/>
    <w:rsid w:val="00000CDB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284"/>
    <w:rsid w:val="00015A61"/>
    <w:rsid w:val="00015FED"/>
    <w:rsid w:val="00016333"/>
    <w:rsid w:val="0001725F"/>
    <w:rsid w:val="0001730D"/>
    <w:rsid w:val="0001799F"/>
    <w:rsid w:val="00021418"/>
    <w:rsid w:val="00021B72"/>
    <w:rsid w:val="000222B1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03EE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E4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1C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3B3"/>
    <w:rsid w:val="000D7B97"/>
    <w:rsid w:val="000D7BF0"/>
    <w:rsid w:val="000D7C1D"/>
    <w:rsid w:val="000D7DFB"/>
    <w:rsid w:val="000E083E"/>
    <w:rsid w:val="000E0C91"/>
    <w:rsid w:val="000E0DF8"/>
    <w:rsid w:val="000E0EA4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EE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679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33C"/>
    <w:rsid w:val="001A0844"/>
    <w:rsid w:val="001A1DB2"/>
    <w:rsid w:val="001A3BF0"/>
    <w:rsid w:val="001A3F95"/>
    <w:rsid w:val="001A4712"/>
    <w:rsid w:val="001A4B20"/>
    <w:rsid w:val="001A52D4"/>
    <w:rsid w:val="001A6786"/>
    <w:rsid w:val="001A6923"/>
    <w:rsid w:val="001A6FDA"/>
    <w:rsid w:val="001A76DC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1E2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8C"/>
    <w:rsid w:val="0021669D"/>
    <w:rsid w:val="00216D80"/>
    <w:rsid w:val="002179D1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5B7"/>
    <w:rsid w:val="002A06CF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B19A9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3558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17F3E"/>
    <w:rsid w:val="00322C14"/>
    <w:rsid w:val="00322C9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62F"/>
    <w:rsid w:val="0034242C"/>
    <w:rsid w:val="00342D75"/>
    <w:rsid w:val="0034364D"/>
    <w:rsid w:val="00343681"/>
    <w:rsid w:val="003438AD"/>
    <w:rsid w:val="003448DC"/>
    <w:rsid w:val="00344909"/>
    <w:rsid w:val="003455F0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96F"/>
    <w:rsid w:val="00362DA4"/>
    <w:rsid w:val="00362F18"/>
    <w:rsid w:val="00363434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52E8"/>
    <w:rsid w:val="003A52F4"/>
    <w:rsid w:val="003A5531"/>
    <w:rsid w:val="003A5E42"/>
    <w:rsid w:val="003A6755"/>
    <w:rsid w:val="003A74CC"/>
    <w:rsid w:val="003B0322"/>
    <w:rsid w:val="003B1679"/>
    <w:rsid w:val="003B29E5"/>
    <w:rsid w:val="003B38D8"/>
    <w:rsid w:val="003B3C3C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363B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18C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875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C1"/>
    <w:rsid w:val="00414CEC"/>
    <w:rsid w:val="00414E10"/>
    <w:rsid w:val="00414E53"/>
    <w:rsid w:val="0041539A"/>
    <w:rsid w:val="004154DC"/>
    <w:rsid w:val="00415705"/>
    <w:rsid w:val="004157B9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BE6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81D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2A2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2F9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496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5F9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570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EEA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081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977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2191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232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6BDE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9C9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46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80227"/>
    <w:rsid w:val="00680248"/>
    <w:rsid w:val="0068032A"/>
    <w:rsid w:val="00680C96"/>
    <w:rsid w:val="0068159D"/>
    <w:rsid w:val="00681845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5F0C"/>
    <w:rsid w:val="006A6C58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AB1"/>
    <w:rsid w:val="00724E03"/>
    <w:rsid w:val="007251ED"/>
    <w:rsid w:val="007253B9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363F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0EE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E8B"/>
    <w:rsid w:val="008221BF"/>
    <w:rsid w:val="00822512"/>
    <w:rsid w:val="00822607"/>
    <w:rsid w:val="008227F1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125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3E24"/>
    <w:rsid w:val="0084448E"/>
    <w:rsid w:val="00844EA7"/>
    <w:rsid w:val="00844F83"/>
    <w:rsid w:val="008450A5"/>
    <w:rsid w:val="00845412"/>
    <w:rsid w:val="00845976"/>
    <w:rsid w:val="00845A18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63B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08B9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5299"/>
    <w:rsid w:val="008B613E"/>
    <w:rsid w:val="008B7FE8"/>
    <w:rsid w:val="008C0253"/>
    <w:rsid w:val="008C093C"/>
    <w:rsid w:val="008C0D27"/>
    <w:rsid w:val="008C103B"/>
    <w:rsid w:val="008C1724"/>
    <w:rsid w:val="008C1B1A"/>
    <w:rsid w:val="008C1DC8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2C7D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42F4"/>
    <w:rsid w:val="008E64F1"/>
    <w:rsid w:val="008E6749"/>
    <w:rsid w:val="008E683D"/>
    <w:rsid w:val="008E6FC0"/>
    <w:rsid w:val="008F10E5"/>
    <w:rsid w:val="008F4803"/>
    <w:rsid w:val="008F537E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DBB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A19"/>
    <w:rsid w:val="00933D89"/>
    <w:rsid w:val="009343F4"/>
    <w:rsid w:val="009346A0"/>
    <w:rsid w:val="00934B19"/>
    <w:rsid w:val="00934B99"/>
    <w:rsid w:val="009352DD"/>
    <w:rsid w:val="00935A5B"/>
    <w:rsid w:val="00936251"/>
    <w:rsid w:val="00936397"/>
    <w:rsid w:val="0093683F"/>
    <w:rsid w:val="009379B5"/>
    <w:rsid w:val="00937F5C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686C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6D6A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1827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F4"/>
    <w:rsid w:val="009D6C5D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660"/>
    <w:rsid w:val="009E7D61"/>
    <w:rsid w:val="009E7FE2"/>
    <w:rsid w:val="009F1147"/>
    <w:rsid w:val="009F1D26"/>
    <w:rsid w:val="009F2687"/>
    <w:rsid w:val="009F2FEB"/>
    <w:rsid w:val="009F3043"/>
    <w:rsid w:val="009F444E"/>
    <w:rsid w:val="009F4DBA"/>
    <w:rsid w:val="009F500B"/>
    <w:rsid w:val="009F54E3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0F6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C52"/>
    <w:rsid w:val="00A21F6F"/>
    <w:rsid w:val="00A22206"/>
    <w:rsid w:val="00A22760"/>
    <w:rsid w:val="00A22EF9"/>
    <w:rsid w:val="00A23BC3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1C5D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C9D"/>
    <w:rsid w:val="00A76ECB"/>
    <w:rsid w:val="00A76EEE"/>
    <w:rsid w:val="00A77409"/>
    <w:rsid w:val="00A775EC"/>
    <w:rsid w:val="00A77A68"/>
    <w:rsid w:val="00A77CD8"/>
    <w:rsid w:val="00A77FA6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40E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C7BEF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07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7D5"/>
    <w:rsid w:val="00B01BF1"/>
    <w:rsid w:val="00B0220E"/>
    <w:rsid w:val="00B02257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7AA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5F6A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3068"/>
    <w:rsid w:val="00B74081"/>
    <w:rsid w:val="00B74463"/>
    <w:rsid w:val="00B7453F"/>
    <w:rsid w:val="00B74873"/>
    <w:rsid w:val="00B75043"/>
    <w:rsid w:val="00B75167"/>
    <w:rsid w:val="00B754E0"/>
    <w:rsid w:val="00B754E1"/>
    <w:rsid w:val="00B75E25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5B21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620"/>
    <w:rsid w:val="00B96EB7"/>
    <w:rsid w:val="00B96FA3"/>
    <w:rsid w:val="00B97124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8F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C4"/>
    <w:rsid w:val="00BE779B"/>
    <w:rsid w:val="00BE7894"/>
    <w:rsid w:val="00BE7CAE"/>
    <w:rsid w:val="00BF0622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18D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50B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5544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14AF"/>
    <w:rsid w:val="00CB1876"/>
    <w:rsid w:val="00CB25A2"/>
    <w:rsid w:val="00CB2739"/>
    <w:rsid w:val="00CB3025"/>
    <w:rsid w:val="00CB3205"/>
    <w:rsid w:val="00CB3A5B"/>
    <w:rsid w:val="00CB3EFA"/>
    <w:rsid w:val="00CB4EFB"/>
    <w:rsid w:val="00CB5136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4C3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4C0"/>
    <w:rsid w:val="00D24A49"/>
    <w:rsid w:val="00D251B1"/>
    <w:rsid w:val="00D25DE9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D34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4F9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513B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2EB2"/>
    <w:rsid w:val="00E0406A"/>
    <w:rsid w:val="00E04378"/>
    <w:rsid w:val="00E04BCC"/>
    <w:rsid w:val="00E04E61"/>
    <w:rsid w:val="00E05146"/>
    <w:rsid w:val="00E05394"/>
    <w:rsid w:val="00E054E3"/>
    <w:rsid w:val="00E06D50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5FD9"/>
    <w:rsid w:val="00E2659E"/>
    <w:rsid w:val="00E26EC8"/>
    <w:rsid w:val="00E303AF"/>
    <w:rsid w:val="00E30456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A7D"/>
    <w:rsid w:val="00E67BDF"/>
    <w:rsid w:val="00E70157"/>
    <w:rsid w:val="00E71469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77AA2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36A"/>
    <w:rsid w:val="00EB2A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E6F12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23D8"/>
    <w:rsid w:val="00F52DA4"/>
    <w:rsid w:val="00F544E1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5386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4A28"/>
    <w:rsid w:val="00FD58B5"/>
    <w:rsid w:val="00FD5ABE"/>
    <w:rsid w:val="00FD748F"/>
    <w:rsid w:val="00FD7A97"/>
    <w:rsid w:val="00FE15C3"/>
    <w:rsid w:val="00FE1BDD"/>
    <w:rsid w:val="00FE1C6A"/>
    <w:rsid w:val="00FE311F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14B94-B366-4286-90B2-EC9A59A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852E-90DA-45BC-93A7-906D1B75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lenovo</cp:lastModifiedBy>
  <cp:revision>2</cp:revision>
  <cp:lastPrinted>2020-03-17T21:46:00Z</cp:lastPrinted>
  <dcterms:created xsi:type="dcterms:W3CDTF">2020-04-14T12:23:00Z</dcterms:created>
  <dcterms:modified xsi:type="dcterms:W3CDTF">2020-04-14T12:23:00Z</dcterms:modified>
</cp:coreProperties>
</file>