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34" w:rsidRPr="002803EA" w:rsidRDefault="00D25B34" w:rsidP="002803EA">
      <w:pPr>
        <w:tabs>
          <w:tab w:val="left" w:pos="4080"/>
        </w:tabs>
        <w:rPr>
          <w:rFonts w:ascii="Book Antiqua" w:eastAsia="MS Mincho" w:hAnsi="Book Antiqua"/>
          <w:b/>
          <w:sz w:val="22"/>
          <w:szCs w:val="22"/>
        </w:rPr>
      </w:pPr>
      <w:r w:rsidRPr="002803EA"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8FB88A9" wp14:editId="64B6A2B8">
            <wp:simplePos x="0" y="0"/>
            <wp:positionH relativeFrom="column">
              <wp:posOffset>2725420</wp:posOffset>
            </wp:positionH>
            <wp:positionV relativeFrom="paragraph">
              <wp:posOffset>41275</wp:posOffset>
            </wp:positionV>
            <wp:extent cx="838200" cy="9283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B34" w:rsidRPr="002803EA" w:rsidRDefault="00D25B34" w:rsidP="00D25B34">
      <w:pPr>
        <w:jc w:val="center"/>
        <w:rPr>
          <w:rFonts w:ascii="Book Antiqua" w:eastAsia="MS Mincho" w:hAnsi="Book Antiqua"/>
          <w:b/>
          <w:sz w:val="22"/>
          <w:szCs w:val="22"/>
        </w:rPr>
      </w:pPr>
    </w:p>
    <w:p w:rsidR="002803EA" w:rsidRPr="002803EA" w:rsidRDefault="002803EA" w:rsidP="00D25B34">
      <w:pPr>
        <w:jc w:val="center"/>
        <w:rPr>
          <w:rFonts w:ascii="Book Antiqua" w:eastAsia="MS Mincho" w:hAnsi="Book Antiqua"/>
          <w:b/>
          <w:sz w:val="22"/>
          <w:szCs w:val="22"/>
        </w:rPr>
      </w:pPr>
    </w:p>
    <w:p w:rsidR="002803EA" w:rsidRDefault="002803EA" w:rsidP="00D25B34">
      <w:pPr>
        <w:jc w:val="center"/>
        <w:rPr>
          <w:rFonts w:ascii="Book Antiqua" w:eastAsia="MS Mincho" w:hAnsi="Book Antiqua"/>
          <w:b/>
          <w:sz w:val="22"/>
          <w:szCs w:val="22"/>
        </w:rPr>
      </w:pPr>
    </w:p>
    <w:p w:rsidR="002803EA" w:rsidRPr="002803EA" w:rsidRDefault="002803EA" w:rsidP="00D25B34">
      <w:pPr>
        <w:jc w:val="center"/>
        <w:rPr>
          <w:rFonts w:ascii="Book Antiqua" w:eastAsia="MS Mincho" w:hAnsi="Book Antiqua"/>
          <w:b/>
          <w:sz w:val="22"/>
          <w:szCs w:val="22"/>
        </w:rPr>
      </w:pPr>
    </w:p>
    <w:p w:rsidR="002803EA" w:rsidRPr="002803EA" w:rsidRDefault="002803EA" w:rsidP="00D25B34">
      <w:pPr>
        <w:jc w:val="center"/>
        <w:rPr>
          <w:rFonts w:ascii="Book Antiqua" w:eastAsia="MS Mincho" w:hAnsi="Book Antiqua"/>
          <w:b/>
          <w:sz w:val="22"/>
          <w:szCs w:val="22"/>
        </w:rPr>
      </w:pPr>
    </w:p>
    <w:p w:rsidR="00D25B34" w:rsidRPr="002803EA" w:rsidRDefault="00D25B34" w:rsidP="00D25B34">
      <w:pPr>
        <w:jc w:val="center"/>
        <w:rPr>
          <w:rFonts w:ascii="Book Antiqua" w:eastAsia="Batang" w:hAnsi="Book Antiqua"/>
          <w:b/>
          <w:sz w:val="22"/>
          <w:szCs w:val="22"/>
        </w:rPr>
      </w:pPr>
      <w:r w:rsidRPr="002803EA">
        <w:rPr>
          <w:rFonts w:ascii="Book Antiqua" w:eastAsia="MS Mincho" w:hAnsi="Book Antiqua"/>
          <w:b/>
          <w:sz w:val="22"/>
          <w:szCs w:val="22"/>
        </w:rPr>
        <w:t>Republika e Kosovës –</w:t>
      </w:r>
      <w:r w:rsidRPr="002803EA">
        <w:rPr>
          <w:rFonts w:ascii="Book Antiqua" w:eastAsia="MS Mincho" w:hAnsi="Book Antiqua"/>
          <w:sz w:val="22"/>
          <w:szCs w:val="22"/>
        </w:rPr>
        <w:t xml:space="preserve"> </w:t>
      </w:r>
      <w:r w:rsidRPr="002803EA">
        <w:rPr>
          <w:rFonts w:ascii="Book Antiqua" w:eastAsia="Batang" w:hAnsi="Book Antiqua"/>
          <w:b/>
          <w:sz w:val="22"/>
          <w:szCs w:val="22"/>
        </w:rPr>
        <w:t xml:space="preserve">Република Косово – </w:t>
      </w:r>
      <w:r w:rsidRPr="002803EA">
        <w:rPr>
          <w:rFonts w:ascii="Book Antiqua" w:eastAsia="MS Mincho" w:hAnsi="Book Antiqua"/>
          <w:b/>
          <w:sz w:val="22"/>
          <w:szCs w:val="22"/>
        </w:rPr>
        <w:t>Republic of Kosovo</w:t>
      </w:r>
    </w:p>
    <w:p w:rsidR="00D25B34" w:rsidRPr="002803EA" w:rsidRDefault="00D25B34" w:rsidP="00D25B34">
      <w:pPr>
        <w:jc w:val="center"/>
        <w:rPr>
          <w:rFonts w:ascii="Book Antiqua" w:eastAsia="MS Mincho" w:hAnsi="Book Antiqua"/>
          <w:i/>
          <w:sz w:val="22"/>
          <w:szCs w:val="22"/>
        </w:rPr>
      </w:pPr>
      <w:r w:rsidRPr="002803EA">
        <w:rPr>
          <w:rFonts w:ascii="Book Antiqua" w:eastAsia="MS Mincho" w:hAnsi="Book Antiqua"/>
          <w:i/>
          <w:sz w:val="22"/>
          <w:szCs w:val="22"/>
        </w:rPr>
        <w:t>Qeveria – Влада – Government</w:t>
      </w:r>
    </w:p>
    <w:p w:rsidR="00D25B34" w:rsidRPr="002803EA" w:rsidRDefault="00D25B34" w:rsidP="00D25B34">
      <w:pPr>
        <w:spacing w:after="60"/>
        <w:jc w:val="center"/>
        <w:outlineLvl w:val="1"/>
        <w:rPr>
          <w:rFonts w:ascii="Book Antiqua" w:hAnsi="Book Antiqua"/>
          <w:i/>
          <w:sz w:val="22"/>
          <w:szCs w:val="22"/>
        </w:rPr>
      </w:pPr>
      <w:r w:rsidRPr="002803EA">
        <w:rPr>
          <w:rFonts w:ascii="Book Antiqua" w:hAnsi="Book Antiqua"/>
          <w:i/>
          <w:sz w:val="22"/>
          <w:szCs w:val="22"/>
        </w:rPr>
        <w:t>Zyra e Kryeministrit – Канцеларија премијера – Office of The Prime Minister</w:t>
      </w:r>
    </w:p>
    <w:p w:rsidR="00D25B34" w:rsidRPr="002803EA" w:rsidRDefault="00D25B34" w:rsidP="00D25B34">
      <w:pPr>
        <w:spacing w:after="60"/>
        <w:jc w:val="center"/>
        <w:outlineLvl w:val="1"/>
        <w:rPr>
          <w:rFonts w:ascii="Book Antiqua" w:hAnsi="Book Antiqua"/>
          <w:sz w:val="22"/>
          <w:szCs w:val="22"/>
        </w:rPr>
      </w:pPr>
      <w:r w:rsidRPr="002803EA">
        <w:rPr>
          <w:rFonts w:ascii="Book Antiqua" w:hAnsi="Book Antiqua"/>
          <w:sz w:val="22"/>
          <w:szCs w:val="22"/>
        </w:rPr>
        <w:t>Zyra e Komisionerit për Gjuhët – Канцеларија повереника за језике</w:t>
      </w:r>
    </w:p>
    <w:p w:rsidR="00D25B34" w:rsidRPr="002803EA" w:rsidRDefault="00D25B34" w:rsidP="00D25B34">
      <w:pPr>
        <w:jc w:val="center"/>
        <w:rPr>
          <w:rFonts w:ascii="Book Antiqua" w:hAnsi="Book Antiqua"/>
          <w:sz w:val="22"/>
          <w:szCs w:val="22"/>
        </w:rPr>
      </w:pPr>
      <w:r w:rsidRPr="002803EA">
        <w:rPr>
          <w:rFonts w:ascii="Book Antiqua" w:hAnsi="Book Antiqua"/>
          <w:sz w:val="22"/>
          <w:szCs w:val="22"/>
        </w:rPr>
        <w:t>Office of the Language Commissioner</w:t>
      </w:r>
    </w:p>
    <w:p w:rsidR="00D25B34" w:rsidRPr="002803EA" w:rsidRDefault="00D25B34" w:rsidP="00D25B34">
      <w:pPr>
        <w:jc w:val="both"/>
        <w:rPr>
          <w:rFonts w:ascii="Book Antiqua" w:hAnsi="Book Antiqua"/>
          <w:sz w:val="22"/>
          <w:szCs w:val="22"/>
          <w:lang w:val="en-GB"/>
        </w:rPr>
      </w:pPr>
    </w:p>
    <w:p w:rsidR="00D25B34" w:rsidRDefault="00D25B34" w:rsidP="00D25B34">
      <w:pPr>
        <w:jc w:val="both"/>
        <w:rPr>
          <w:rFonts w:ascii="Book Antiqua" w:hAnsi="Book Antiqua"/>
          <w:lang w:val="en-GB"/>
        </w:rPr>
      </w:pPr>
    </w:p>
    <w:p w:rsidR="002803EA" w:rsidRDefault="002803EA" w:rsidP="00D25B34">
      <w:pPr>
        <w:jc w:val="both"/>
        <w:rPr>
          <w:rFonts w:ascii="Book Antiqua" w:hAnsi="Book Antiqua"/>
          <w:lang w:val="en-GB"/>
        </w:rPr>
      </w:pPr>
    </w:p>
    <w:p w:rsidR="002803EA" w:rsidRDefault="002803EA" w:rsidP="00D25B34">
      <w:pPr>
        <w:jc w:val="both"/>
        <w:rPr>
          <w:rFonts w:ascii="Book Antiqua" w:hAnsi="Book Antiqua"/>
          <w:lang w:val="en-GB"/>
        </w:rPr>
      </w:pPr>
    </w:p>
    <w:p w:rsidR="002803EA" w:rsidRDefault="002803EA" w:rsidP="00D25B34">
      <w:pPr>
        <w:jc w:val="both"/>
        <w:rPr>
          <w:rFonts w:ascii="Book Antiqua" w:hAnsi="Book Antiqua"/>
          <w:lang w:val="en-GB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/>
          <w:b/>
          <w:sz w:val="24"/>
          <w:szCs w:val="24"/>
          <w:lang w:val="sq-AL" w:eastAsia="sq-AL"/>
        </w:rPr>
      </w:pPr>
      <w:r>
        <w:rPr>
          <w:rFonts w:ascii="Book Antiqua" w:eastAsia="MS Mincho" w:hAnsi="Book Antiqua"/>
          <w:b/>
          <w:sz w:val="24"/>
          <w:szCs w:val="24"/>
          <w:lang w:val="sq-AL" w:eastAsia="sq-AL"/>
        </w:rPr>
        <w:t>KONTRATË PËR NDARJEN E MJETEVE FINANCIARE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b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e lidhur ndërmjet: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ind w:firstLine="720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Zyrës së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Komisionerit</w:t>
      </w:r>
      <w:proofErr w:type="spellEnd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 për Gjuhët në Zyrën e Kryeministrit</w:t>
      </w:r>
    </w:p>
    <w:p w:rsidR="00D25B34" w:rsidRDefault="00D25B34" w:rsidP="00D25B34">
      <w:pPr>
        <w:pStyle w:val="NoSpacing"/>
        <w:ind w:firstLine="720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ind w:firstLine="720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dhe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Organizates</w:t>
      </w:r>
      <w:proofErr w:type="spellEnd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 Jo-Qeveritare</w:t>
      </w:r>
    </w:p>
    <w:p w:rsidR="00D25B34" w:rsidRDefault="00D25B34" w:rsidP="00D25B34">
      <w:pPr>
        <w:pStyle w:val="NoSpacing"/>
        <w:ind w:firstLine="720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ind w:firstLine="720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________________________________________________________________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 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2803EA" w:rsidRDefault="002803EA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2803EA" w:rsidRDefault="002803EA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2803EA" w:rsidRDefault="002803EA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9670AD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EMRI I </w:t>
      </w:r>
      <w:bookmarkStart w:id="0" w:name="_GoBack"/>
      <w:bookmarkEnd w:id="0"/>
      <w:r w:rsidR="00D25B34"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PROJEKTIT/PROGRAMI: </w:t>
      </w:r>
      <w:r w:rsidR="00D25B34">
        <w:rPr>
          <w:rFonts w:ascii="Book Antiqua" w:hAnsi="Book Antiqua"/>
          <w:sz w:val="24"/>
          <w:szCs w:val="24"/>
        </w:rPr>
        <w:t>_______________________________________</w:t>
      </w:r>
      <w:r w:rsidR="00D25B34"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 / </w:t>
      </w:r>
      <w:proofErr w:type="spellStart"/>
      <w:r w:rsidR="00D25B34">
        <w:rPr>
          <w:rFonts w:ascii="Book Antiqua" w:eastAsia="MS Mincho" w:hAnsi="Book Antiqua" w:cs="Book Antiqua"/>
          <w:sz w:val="24"/>
          <w:szCs w:val="24"/>
          <w:lang w:eastAsia="sq-AL"/>
        </w:rPr>
        <w:t>Promovimi</w:t>
      </w:r>
      <w:proofErr w:type="spellEnd"/>
      <w:r w:rsidR="00D25B34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 w:rsidR="00D25B34">
        <w:rPr>
          <w:rFonts w:ascii="Book Antiqua" w:eastAsia="MS Mincho" w:hAnsi="Book Antiqua" w:cs="Book Antiqua"/>
          <w:sz w:val="24"/>
          <w:szCs w:val="24"/>
          <w:lang w:eastAsia="sq-AL"/>
        </w:rPr>
        <w:t>dhe</w:t>
      </w:r>
      <w:proofErr w:type="spellEnd"/>
      <w:r w:rsidR="00D25B34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 w:rsidR="00D25B34">
        <w:rPr>
          <w:rFonts w:ascii="Book Antiqua" w:eastAsia="MS Mincho" w:hAnsi="Book Antiqua" w:cs="Book Antiqua"/>
          <w:sz w:val="24"/>
          <w:szCs w:val="24"/>
          <w:lang w:eastAsia="sq-AL"/>
        </w:rPr>
        <w:t>mbrojtja</w:t>
      </w:r>
      <w:proofErr w:type="spellEnd"/>
      <w:r w:rsidR="00D25B34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e </w:t>
      </w:r>
      <w:proofErr w:type="spellStart"/>
      <w:r w:rsidR="00D25B34">
        <w:rPr>
          <w:rFonts w:ascii="Book Antiqua" w:eastAsia="MS Mincho" w:hAnsi="Book Antiqua" w:cs="Book Antiqua"/>
          <w:sz w:val="24"/>
          <w:szCs w:val="24"/>
          <w:lang w:eastAsia="sq-AL"/>
        </w:rPr>
        <w:t>të</w:t>
      </w:r>
      <w:proofErr w:type="spellEnd"/>
      <w:r w:rsidR="00D25B34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 w:rsidR="00D25B34">
        <w:rPr>
          <w:rFonts w:ascii="Book Antiqua" w:eastAsia="MS Mincho" w:hAnsi="Book Antiqua" w:cs="Book Antiqua"/>
          <w:sz w:val="24"/>
          <w:szCs w:val="24"/>
          <w:lang w:eastAsia="sq-AL"/>
        </w:rPr>
        <w:t>drejtave</w:t>
      </w:r>
      <w:proofErr w:type="spellEnd"/>
      <w:r w:rsidR="00D25B34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 w:rsidR="00D25B34">
        <w:rPr>
          <w:rFonts w:ascii="Book Antiqua" w:eastAsia="MS Mincho" w:hAnsi="Book Antiqua" w:cs="Book Antiqua"/>
          <w:sz w:val="24"/>
          <w:szCs w:val="24"/>
          <w:lang w:eastAsia="sq-AL"/>
        </w:rPr>
        <w:t>gjuhësore</w:t>
      </w:r>
      <w:proofErr w:type="spellEnd"/>
      <w:r w:rsidR="00D25B34"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(PMDGJ)</w:t>
      </w: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KUSHTET E KONTRATËS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1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Emri i projektit/programit: _____________________________________</w:t>
      </w:r>
      <w:r>
        <w:rPr>
          <w:rFonts w:ascii="Book Antiqua" w:hAnsi="Book Antiqua"/>
          <w:sz w:val="24"/>
          <w:szCs w:val="24"/>
        </w:rPr>
        <w:t>/</w:t>
      </w: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Promovimi</w:t>
      </w:r>
      <w:proofErr w:type="spell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dhe</w:t>
      </w:r>
      <w:proofErr w:type="spell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mbrojtja</w:t>
      </w:r>
      <w:proofErr w:type="spell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e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të</w:t>
      </w:r>
      <w:proofErr w:type="spell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drejtave</w:t>
      </w:r>
      <w:proofErr w:type="spell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eastAsia="sq-AL"/>
        </w:rPr>
        <w:t>gjuhësore</w:t>
      </w:r>
      <w:proofErr w:type="spellEnd"/>
      <w:r>
        <w:rPr>
          <w:rFonts w:ascii="Book Antiqua" w:eastAsia="MS Mincho" w:hAnsi="Book Antiqua" w:cs="Book Antiqua"/>
          <w:sz w:val="24"/>
          <w:szCs w:val="24"/>
          <w:lang w:eastAsia="sq-AL"/>
        </w:rPr>
        <w:t xml:space="preserve"> (PMDGJ)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Referenca/numri i kontratës: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Vlera totale e Kontratës në Euro: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Periudha  e zbatimit të projektit: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Linja buxhetore: subvencione, kodi: 25300</w:t>
      </w: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lastRenderedPageBreak/>
        <w:t>Neni 2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Mjetet nga neni 1 i Kontratës mund të përdoren vetëm për zbatimin e projektit, në përputhje me kushtet e thirrjes publike dhe të formës përshkruese të projektit dhe formularit të buxhetit të projektit, të cilat konsiderohen pjesë përbërëse e kësaj kontrate. 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3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Mjetet nga neni 1 do të paguhen në  llogarinë bankare të përfituesit: ____________________</w:t>
      </w: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4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 1. Për të kontrolluar përdorimin e duhur të burimeve përfituesi është i detyruar të dorëzojë raport ofruesit të mbështetjes financiare për zbatimin e projektit i cili duhet të përfshijnë: 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1.1 Raportin narrativ (të cilin e dorëzon në formë të shtypur, përmes postës, dhe/ose në formë elektronike me e-</w:t>
      </w:r>
      <w:proofErr w:type="spellStart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mail</w:t>
      </w:r>
      <w:proofErr w:type="spellEnd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 ose me postë në një CD, DVD ose USB-në, apo formë tjetër elektronike sipas kërkesës),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 1.2 Raporti financiar (të cilin e dorëzon në formë të shtypur përmes postës, dhe/ose në formë elektronike me e-</w:t>
      </w:r>
      <w:proofErr w:type="spellStart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mail</w:t>
      </w:r>
      <w:proofErr w:type="spellEnd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 ose me postë në një CD, DVD ose USB-në apo formë tjetër sipas kërkesës) me dokumentacion të detajuar të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të</w:t>
      </w:r>
      <w:proofErr w:type="spellEnd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 gjitha kostove dhe anekset: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a) Për pagesat e kryera me transaksione bankare: kopjet e faturave, emrin e përfituesit dhe llogari bankare përkatëse; 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b) për pagesat në para të gatshme: kopjet e faturave, emrin e përfituesit, kopje të dëftesës së pagesës nga arka raportet e parasë së gatshme. 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c) dokumente të tjera: dokumente tjera të ndërlidhura me udhëtimet, agjendat, dhe të ngjashme, i bashkëngjitni dosjet shoqëruese, dokumentet mbi të cilat pagesat janë kryer (kontratat, marrëveshjet) dhe të ngjashme. 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2. Anekset tjera lidhur me zbatimin e projektit, dëshmi e implementimit të aktiviteteve të projektit përfshirë (lista e pjesëmarrësve, fletët e vlerësimit, fotografi nga ngjarjet, kopje të botimeve,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etj</w:t>
      </w:r>
      <w:proofErr w:type="spellEnd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). 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3. Përfituesi duhet të dorëzojë raporte tremujore/gjysmë-vjetore/raportin vjetor /përfundimtar për zbatimin në afat prej: ditë /muaj/ muaj pas skadimit të periudhës së raportimit. Raportet duhet të dorëzohen tek financuesi sipas formularëve të paraparë.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5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1. Ofruesi i mbështetjes financiare rezervon të drejtën për monitorimin dhe vlerësimin e ekzekutimit të projektit, duke përfshirë shqyrtimin e financave dhe shpenzimeve të vazhdueshme në çdo kohë gjatë projektit dhe për një periudhë prej dy vite pas përfundimit të projektit. 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2. Ofruesi i mbështetjes financiare mund të bëjë drejtpërdrejtë kontrollin e mësipërm të kësaj kontrate, e cila bëhet përmes një vizitë monitoruese në ambientet e përfituesit  dhe në rast të kontrollit të tillë do të njoftojë përfituesin të paktën shtatë ditë para kontrollit të tillë.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6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Ofruesi i mbështetjes financiare ka të drejtë që për qëllim të mbikëqyrjes së përdorimit të fondeve sipas qëllimit, sipas nenit 1 të kontratës të kontaktojë direkt gjithë personat juridikë dhe fizikë, të cilët janë paguar nga fondet e projektit, sipas dokumenteve të raportuara nga përfituesi i mbështetjes financiare publike.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7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1. Përfituesi merr përsipër të njoftojë në kohë ofruesin e mbështetjes financiare për ndryshimet e vogla dhe të mëdha në kontratë.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1.1 Ndryshime të vogla në kontratë që nuk kërkojnë ndryshimin e kontratës përmes shtojcave mund të jenë: 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a) Ndryshime në buxhet në mes kapitujve të buxhetit më pak se 10% 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b) Ndërrimi i një anëtari të ekipit të projektit 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c) Ndryshimi i llogarisë bankare të anëtarëve të projektit 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d) Ndryshimi i adresës ose i të dhënave tjera të anëtarëve të projektit 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e) Ndryshime të vogla në projektet që nuk ndikojnë në qëllimin dhe objektivat (psh. ndryshime të vogla në kohën e aktiviteteve)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1.2 Ndryshimet më të mëdha të kontratës kërkojnë ndryshimin e kontratës përmes një shtojce dhe nënshkrimin e saj nga ofruesi i mbështetjes financiare dhe përfituesi. Ndryshimet më të mëdha në kontratë mund të jenë: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a) Ndërrimet në buxhet mes kapitujve të buxhetit prej më shumë se 10% 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b) Zgjatjen e kohës së implementimit të projektit (maksimumi 6 muaj) 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c) Shtimi i aktiviteteve të reja në kuadër të projektit 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d) Ndryshimi i aktiviteteve që në mënyrë të konsiderueshme ndikojnë në qëllimin dhe objektivat e projektit.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2. Ofruesi i mbështetjes financiare vendos në çdo rast, nëse do të pranojë ndryshimin e kontratës ose jo dhe nëse ndryshimi përbën ndryshim të vogël ose të madh të kontratës.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8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1. Përfituesi mund të kërkojë ndryshimet në kontratë të paktën 30 ditë përpara përfundimit të projektit. Çdo ndryshim i detyrimeve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kontraktuale</w:t>
      </w:r>
      <w:proofErr w:type="spellEnd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 duhet të kërkohet dhe të miratohet me shkrim. Kontrata nuk mund të ndryshohet apo plotësohet nëse qëllimi apo efekti i ndryshimit e cenon konkurrencën apo trajtimin e barabartë sipas thirrjes publike.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2. Përfituesi nuk mund të kërkojë  ndryshimin e dispozitave të kontratës pas përfundimit të periudhës së implementimit të projektit, siç është paraparë në nenin 1.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3. Ofruesi i mbështetjes financiare publike ka të drejtë të mos e miratojë dhënien e një pjese të fondeve dhe zgjatjen e periudhës së zbatimit të projektit nëse kjo ndryshon përmbajtjen dhe natyrën e projektit, ose në qoftë se kërkesa nuk ka bazë dhe arsye  objektive për ndryshim të kontratës ose zgjatje të periudhës së zbatimit të projektit.</w:t>
      </w:r>
    </w:p>
    <w:p w:rsidR="00D25B34" w:rsidRDefault="00D25B34" w:rsidP="00D25B34">
      <w:pPr>
        <w:pStyle w:val="NoSpacing"/>
        <w:ind w:firstLine="72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4. Vendimi për miratimin ose mos miratimin e kërkesës për ndryshim të kontratës apo zgjatje të periudhës së zbatimit të projektit duhet të merret brenda 30 ditësh nga data e kërkesës së përfituesit.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9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Nëse ofruesi i mbështetjes financiare përcakton se përfituesi nuk është duke përdorur në mënyrë të papërshtatshme fondet e mbështetjes financiare për implementimin e projektit sipas kushteve të nenit 1 dhe 2 të kësaj kontrate dhe kushteve të përcaktuara në kontratë, ose ka dështuar të zbatojë projektin brenda afatit të kontraktuar, në qoftë se nuk ka paraqitur raportet e duhura në kohë dhe me përmbajtjen e përcaktuar në nenin 4 të kontratës, ose nuk i ka lejuar ofruesit të mbështetjes financiare mbikëqyrjen e përdorimit të fondeve sipas nenit 5 dhe 6 të kontratës, pagesat e mëtejshme do të pezullohen dhe përfituesi është i detyruar të kthejë  mjetet e shpenzuara në mënyrë të papërshtatshme dhe mjetet ende të pashpenzuara, brenda 30 ditëve nga marrja e njoftimit me shkrim për kthimin e mjeteve nga ofruesi i mbështetjes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fiananciare</w:t>
      </w:r>
      <w:proofErr w:type="spellEnd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10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Nëse ofruesi i mbështetjes financiare përcakton se përfituesi nuk i ka përmbushur detyrimet </w:t>
      </w:r>
      <w:proofErr w:type="spellStart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kontraktuale</w:t>
      </w:r>
      <w:proofErr w:type="spellEnd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, do të mohohet e drejta për të përfituar mbështetje financiare në dy vitet e ardhshme.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11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1.</w:t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  <w:t>Përfituesi pranon që në të gjitha materialet e shtypura, video dhe materiale të tjera që lidhen me projektin të vendos logon dhe emrin e ofruesit të mbështetjes financiare si një institucion që financon projektin i cili është objekt i kontratës.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2. Përfituesi pajtohet që ti dorëzojë ofruesit të mbështetjes financiare për përdorim dhe publikim fotot, video dhe të dhënat audio të përmendura në paragrafin 1 të këtij neni, për të promovuar thirrjen publike dhe për të kontribuar në zhvillimin e shoqërisë civile në Republikën e Kosovës.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</w: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12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Ofruesi i mbështetjes financiare nuk është përgjegjës, drejtpërdrejt apo tërthorazi, për dëmet që rrjedhin nga çdo veprimtari e përfituesit në zbatimin e projektit.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13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Me nënshkrimin e kësaj kontrate përfituesi pajtohet që si përfitues i burimeve publike të financimit për projektet me interes dhe në të mirën e publikut, këto mjete nuk do të marrin pjesë në promovimin e ndonjë interesi privat, politik, apo mbështetje për ndonjë parti politike a kandidat të pavarur, gjatë gjithë kohëzgjatjes së kësaj kontrate.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14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Në rast se paraqiten mosmarrëveshje në zbatimin e kësaj kontrate në mes të palëve kontraktues dhe nuk mund të zgjidhen me mirëkuptim dhe diskutime të ndërsjella, kompetente për zgjidhjen e kontestit të tillë do të jetë gjykata kompetente në Prishtinë</w:t>
      </w: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15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Për çështjet që nuk janë rregulluar me këtë kontratë do të vlejnë dispozitat e rregullores mbi Kriteret, standardet dhe procedurat e financimit publik për OJQ-të dhe manualit për zbatimin e saj.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16</w:t>
      </w:r>
    </w:p>
    <w:p w:rsidR="00D25B34" w:rsidRDefault="00D25B34" w:rsidP="00D25B34">
      <w:pPr>
        <w:pStyle w:val="NoSpacing"/>
        <w:ind w:firstLine="540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Informatat që përmban forma e përshkrimit të projektit dhe forma e buxhetit të projektit të cilën përfituesi e ka dorëzuar me rastin e aplikimit sipas thirrjes publike janë pjesë përbërëse e kësaj kontrate.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17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Për çdo formë të komunikimit apo dorëzimit të njoftimit për ndryshime në kontratë dhe dorëzimin e raporteve lidhur me këtë kontratë, palët duhet të specifikojnë numrin e referencës së kontratës dhe emrin e projektit dhe të dërgojnë atë në adresën e mëposhtme: Për ofruesin e mbështetjes financiare: &lt;Adresa, tel., e-</w:t>
      </w:r>
      <w:proofErr w:type="spellStart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mail</w:t>
      </w:r>
      <w:proofErr w:type="spellEnd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 adresa për korrespondencë&gt; Për përfituesin: &lt;Adresa, tel., e-</w:t>
      </w:r>
      <w:proofErr w:type="spellStart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mail</w:t>
      </w:r>
      <w:proofErr w:type="spellEnd"/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 adresa për korrespondencë&gt;  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18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Kjo kontratë hartohet në tri (3) kopje identike, nga të cilat një (1) kopje për përfituesin, si dhe dy kopje për ofruesin e mbështetjes financiare publike.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center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Neni 20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Kontrata hyn në fuqi në momentin e nënshkrimit nga palët kontraktuese.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2803EA" w:rsidRDefault="002803EA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Vendi dhe data: 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>Për ofruesin e mbështetjes financiare publike:</w:t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  <w:t>Për përfituesin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 xml:space="preserve">_______________________ </w:t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  <w:t>_________________</w:t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</w:r>
      <w:r>
        <w:rPr>
          <w:rFonts w:ascii="Book Antiqua" w:eastAsia="MS Mincho" w:hAnsi="Book Antiqua" w:cs="Book Antiqua"/>
          <w:sz w:val="24"/>
          <w:szCs w:val="24"/>
          <w:lang w:val="sq-AL" w:eastAsia="sq-AL"/>
        </w:rPr>
        <w:tab/>
      </w:r>
    </w:p>
    <w:p w:rsidR="00D25B34" w:rsidRDefault="00D25B34" w:rsidP="00D25B34">
      <w:pPr>
        <w:pStyle w:val="NoSpacing"/>
        <w:jc w:val="both"/>
        <w:rPr>
          <w:rFonts w:ascii="Book Antiqua" w:eastAsia="MS Mincho" w:hAnsi="Book Antiqua" w:cs="Book Antiqua"/>
          <w:sz w:val="24"/>
          <w:szCs w:val="24"/>
          <w:lang w:val="sq-AL" w:eastAsia="sq-AL"/>
        </w:rPr>
      </w:pPr>
    </w:p>
    <w:sectPr w:rsidR="00D25B34" w:rsidSect="00FA42AB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C52" w:rsidRDefault="00D85C52" w:rsidP="00A66B37">
      <w:r>
        <w:separator/>
      </w:r>
    </w:p>
  </w:endnote>
  <w:endnote w:type="continuationSeparator" w:id="0">
    <w:p w:rsidR="00D85C52" w:rsidRDefault="00D85C52" w:rsidP="00A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930" w:rsidRDefault="00CB60D0" w:rsidP="00CE79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E79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7930" w:rsidRDefault="00CE7930" w:rsidP="00CE793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930" w:rsidRPr="00EB3322" w:rsidRDefault="00CB60D0" w:rsidP="00CE7930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EB3322">
      <w:rPr>
        <w:rStyle w:val="PageNumber"/>
        <w:rFonts w:ascii="Arial" w:hAnsi="Arial" w:cs="Arial"/>
        <w:sz w:val="20"/>
        <w:szCs w:val="20"/>
      </w:rPr>
      <w:fldChar w:fldCharType="begin"/>
    </w:r>
    <w:r w:rsidR="00CE7930" w:rsidRPr="00EB332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B3322">
      <w:rPr>
        <w:rStyle w:val="PageNumber"/>
        <w:rFonts w:ascii="Arial" w:hAnsi="Arial" w:cs="Arial"/>
        <w:sz w:val="20"/>
        <w:szCs w:val="20"/>
      </w:rPr>
      <w:fldChar w:fldCharType="separate"/>
    </w:r>
    <w:r w:rsidR="009670AD">
      <w:rPr>
        <w:rStyle w:val="PageNumber"/>
        <w:rFonts w:ascii="Arial" w:hAnsi="Arial" w:cs="Arial"/>
        <w:noProof/>
        <w:sz w:val="20"/>
        <w:szCs w:val="20"/>
      </w:rPr>
      <w:t>5</w:t>
    </w:r>
    <w:r w:rsidRPr="00EB3322">
      <w:rPr>
        <w:rStyle w:val="PageNumber"/>
        <w:rFonts w:ascii="Arial" w:hAnsi="Arial" w:cs="Arial"/>
        <w:sz w:val="20"/>
        <w:szCs w:val="20"/>
      </w:rPr>
      <w:fldChar w:fldCharType="end"/>
    </w:r>
  </w:p>
  <w:p w:rsidR="00CE7930" w:rsidRPr="00AD7728" w:rsidRDefault="00CE7930" w:rsidP="00CE79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C52" w:rsidRDefault="00D85C52" w:rsidP="00A66B37">
      <w:r>
        <w:separator/>
      </w:r>
    </w:p>
  </w:footnote>
  <w:footnote w:type="continuationSeparator" w:id="0">
    <w:p w:rsidR="00D85C52" w:rsidRDefault="00D85C52" w:rsidP="00A6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6F96"/>
    <w:multiLevelType w:val="hybridMultilevel"/>
    <w:tmpl w:val="5E788EB4"/>
    <w:lvl w:ilvl="0" w:tplc="624C6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D73D1"/>
    <w:multiLevelType w:val="hybridMultilevel"/>
    <w:tmpl w:val="7D76A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46CCE"/>
    <w:multiLevelType w:val="hybridMultilevel"/>
    <w:tmpl w:val="F63AC2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2350B"/>
    <w:multiLevelType w:val="multilevel"/>
    <w:tmpl w:val="71844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AA62713"/>
    <w:multiLevelType w:val="hybridMultilevel"/>
    <w:tmpl w:val="C2480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EAC39E">
      <w:start w:val="2"/>
      <w:numFmt w:val="bullet"/>
      <w:lvlText w:val="•"/>
      <w:lvlJc w:val="left"/>
      <w:pPr>
        <w:ind w:left="1800" w:hanging="360"/>
      </w:pPr>
      <w:rPr>
        <w:rFonts w:ascii="inherit" w:eastAsia="Times New Roman" w:hAnsi="inherit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01701A"/>
    <w:multiLevelType w:val="hybridMultilevel"/>
    <w:tmpl w:val="E1949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5A48FD"/>
    <w:multiLevelType w:val="hybridMultilevel"/>
    <w:tmpl w:val="EE4A29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2551DB"/>
    <w:multiLevelType w:val="multilevel"/>
    <w:tmpl w:val="71844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FF778E7"/>
    <w:multiLevelType w:val="hybridMultilevel"/>
    <w:tmpl w:val="24145A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60375B"/>
    <w:multiLevelType w:val="hybridMultilevel"/>
    <w:tmpl w:val="D236FD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143F2F"/>
    <w:multiLevelType w:val="hybridMultilevel"/>
    <w:tmpl w:val="23502D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C2D8B"/>
    <w:multiLevelType w:val="hybridMultilevel"/>
    <w:tmpl w:val="B2B66C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9F4C63"/>
    <w:multiLevelType w:val="hybridMultilevel"/>
    <w:tmpl w:val="8F286B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B84D32"/>
    <w:multiLevelType w:val="hybridMultilevel"/>
    <w:tmpl w:val="DF2EA1FC"/>
    <w:lvl w:ilvl="0" w:tplc="624C6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9F5BC1"/>
    <w:multiLevelType w:val="multilevel"/>
    <w:tmpl w:val="80001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5D4087B"/>
    <w:multiLevelType w:val="multilevel"/>
    <w:tmpl w:val="20C8F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F0217"/>
    <w:multiLevelType w:val="hybridMultilevel"/>
    <w:tmpl w:val="C99A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61768"/>
    <w:multiLevelType w:val="hybridMultilevel"/>
    <w:tmpl w:val="500C3D74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 w:numId="9">
    <w:abstractNumId w:val="12"/>
  </w:num>
  <w:num w:numId="10">
    <w:abstractNumId w:val="8"/>
  </w:num>
  <w:num w:numId="11">
    <w:abstractNumId w:val="2"/>
  </w:num>
  <w:num w:numId="12">
    <w:abstractNumId w:val="4"/>
  </w:num>
  <w:num w:numId="13">
    <w:abstractNumId w:val="17"/>
  </w:num>
  <w:num w:numId="14">
    <w:abstractNumId w:val="15"/>
  </w:num>
  <w:num w:numId="15">
    <w:abstractNumId w:val="16"/>
  </w:num>
  <w:num w:numId="16">
    <w:abstractNumId w:val="18"/>
  </w:num>
  <w:num w:numId="17">
    <w:abstractNumId w:val="13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A0"/>
    <w:rsid w:val="000540D0"/>
    <w:rsid w:val="00095642"/>
    <w:rsid w:val="000D2C6E"/>
    <w:rsid w:val="00155B64"/>
    <w:rsid w:val="001B6C74"/>
    <w:rsid w:val="001C24BB"/>
    <w:rsid w:val="00271D0A"/>
    <w:rsid w:val="00273869"/>
    <w:rsid w:val="002803EA"/>
    <w:rsid w:val="003863A0"/>
    <w:rsid w:val="004553E5"/>
    <w:rsid w:val="005010C3"/>
    <w:rsid w:val="005C5C85"/>
    <w:rsid w:val="00672990"/>
    <w:rsid w:val="00690A29"/>
    <w:rsid w:val="006F0BC0"/>
    <w:rsid w:val="00735B9D"/>
    <w:rsid w:val="00782767"/>
    <w:rsid w:val="007E0CEF"/>
    <w:rsid w:val="008D2101"/>
    <w:rsid w:val="009156B3"/>
    <w:rsid w:val="009670AD"/>
    <w:rsid w:val="00970811"/>
    <w:rsid w:val="009D7F8A"/>
    <w:rsid w:val="00A66B37"/>
    <w:rsid w:val="00AA74D2"/>
    <w:rsid w:val="00B37FFC"/>
    <w:rsid w:val="00C47C1F"/>
    <w:rsid w:val="00CB60D0"/>
    <w:rsid w:val="00CE7930"/>
    <w:rsid w:val="00D25B34"/>
    <w:rsid w:val="00D85C52"/>
    <w:rsid w:val="00EE51E2"/>
    <w:rsid w:val="00F3669F"/>
    <w:rsid w:val="00FA42AB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63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6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3863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6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3863A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C7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72990"/>
    <w:pPr>
      <w:ind w:left="720"/>
      <w:contextualSpacing/>
    </w:pPr>
  </w:style>
  <w:style w:type="paragraph" w:styleId="NoSpacing">
    <w:name w:val="No Spacing"/>
    <w:uiPriority w:val="1"/>
    <w:qFormat/>
    <w:rsid w:val="00D25B34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63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6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3863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6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3863A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C7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72990"/>
    <w:pPr>
      <w:ind w:left="720"/>
      <w:contextualSpacing/>
    </w:pPr>
  </w:style>
  <w:style w:type="paragraph" w:styleId="NoSpacing">
    <w:name w:val="No Spacing"/>
    <w:uiPriority w:val="1"/>
    <w:qFormat/>
    <w:rsid w:val="00D25B34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Erna Solla.Bahtijari</cp:lastModifiedBy>
  <cp:revision>7</cp:revision>
  <cp:lastPrinted>2017-07-10T09:02:00Z</cp:lastPrinted>
  <dcterms:created xsi:type="dcterms:W3CDTF">2018-05-31T06:41:00Z</dcterms:created>
  <dcterms:modified xsi:type="dcterms:W3CDTF">2018-07-06T09:15:00Z</dcterms:modified>
</cp:coreProperties>
</file>