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bookmarkStart w:id="0" w:name="_GoBack"/>
      <w:proofErr w:type="spellStart"/>
      <w:r w:rsidRPr="006420C4">
        <w:rPr>
          <w:rFonts w:ascii="Book Antiqua" w:eastAsia="Times New Roman" w:hAnsi="Book Antiqua" w:cs="Arial"/>
          <w:lang w:val="en-US"/>
        </w:rPr>
        <w:t>Javni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poziv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ponudu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javne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finansijske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podrške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finansiranje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projekata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>/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programa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NVO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koje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doprinose</w:t>
      </w:r>
      <w:proofErr w:type="spellEnd"/>
      <w:r w:rsidRPr="006420C4"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lang w:val="en-US"/>
        </w:rPr>
        <w:t>promoci</w:t>
      </w:r>
      <w:r>
        <w:rPr>
          <w:rFonts w:ascii="Book Antiqua" w:eastAsia="Times New Roman" w:hAnsi="Book Antiqua" w:cs="Arial"/>
          <w:lang w:val="en-US"/>
        </w:rPr>
        <w:t>ji</w:t>
      </w:r>
      <w:proofErr w:type="spellEnd"/>
      <w:r>
        <w:rPr>
          <w:rFonts w:ascii="Book Antiqua" w:eastAsia="Times New Roman" w:hAnsi="Book Antiqua" w:cs="Arial"/>
          <w:lang w:val="en-US"/>
        </w:rPr>
        <w:t xml:space="preserve"> i </w:t>
      </w:r>
      <w:proofErr w:type="spellStart"/>
      <w:r>
        <w:rPr>
          <w:rFonts w:ascii="Book Antiqua" w:eastAsia="Times New Roman" w:hAnsi="Book Antiqua" w:cs="Arial"/>
          <w:lang w:val="en-US"/>
        </w:rPr>
        <w:t>zaštiti</w:t>
      </w:r>
      <w:proofErr w:type="spellEnd"/>
      <w:r>
        <w:rPr>
          <w:rFonts w:ascii="Book Antiqua" w:eastAsia="Times New Roman" w:hAnsi="Book Antiqua" w:cs="Arial"/>
          <w:lang w:val="en-US"/>
        </w:rPr>
        <w:t xml:space="preserve"> </w:t>
      </w:r>
      <w:proofErr w:type="gramStart"/>
      <w:r>
        <w:rPr>
          <w:rFonts w:ascii="Book Antiqua" w:eastAsia="Times New Roman" w:hAnsi="Book Antiqua" w:cs="Arial"/>
          <w:lang w:val="en-US"/>
        </w:rPr>
        <w:t>od</w:t>
      </w:r>
      <w:proofErr w:type="gramEnd"/>
      <w:r>
        <w:rPr>
          <w:rFonts w:ascii="Book Antiqua" w:eastAsia="Times New Roman" w:hAnsi="Book Antiqua" w:cs="Arial"/>
          <w:lang w:val="en-US"/>
        </w:rPr>
        <w:t xml:space="preserve"> </w:t>
      </w:r>
      <w:proofErr w:type="spellStart"/>
      <w:r>
        <w:rPr>
          <w:rFonts w:ascii="Book Antiqua" w:eastAsia="Times New Roman" w:hAnsi="Book Antiqua" w:cs="Arial"/>
          <w:lang w:val="en-US"/>
        </w:rPr>
        <w:t>disikriminacije</w:t>
      </w:r>
      <w:proofErr w:type="spellEnd"/>
    </w:p>
    <w:bookmarkEnd w:id="0"/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</w:p>
    <w:p w:rsid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i/>
          <w:iCs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b/>
          <w:bCs/>
          <w:i/>
          <w:iCs/>
          <w:lang w:val="en-US"/>
        </w:rPr>
        <w:t>Priština</w:t>
      </w:r>
      <w:proofErr w:type="spellEnd"/>
      <w:r w:rsidRPr="006420C4">
        <w:rPr>
          <w:rFonts w:ascii="Book Antiqua" w:eastAsia="Times New Roman" w:hAnsi="Book Antiqua" w:cs="Arial"/>
          <w:b/>
          <w:bCs/>
          <w:i/>
          <w:iCs/>
          <w:lang w:val="en-US"/>
        </w:rPr>
        <w:t xml:space="preserve"> 13 </w:t>
      </w:r>
      <w:proofErr w:type="spellStart"/>
      <w:r w:rsidRPr="006420C4">
        <w:rPr>
          <w:rFonts w:ascii="Book Antiqua" w:eastAsia="Times New Roman" w:hAnsi="Book Antiqua" w:cs="Arial"/>
          <w:b/>
          <w:bCs/>
          <w:i/>
          <w:iCs/>
          <w:lang w:val="en-US"/>
        </w:rPr>
        <w:t>Decembar</w:t>
      </w:r>
      <w:proofErr w:type="spellEnd"/>
      <w:r w:rsidRPr="006420C4">
        <w:rPr>
          <w:rFonts w:ascii="Book Antiqua" w:eastAsia="Times New Roman" w:hAnsi="Book Antiqua" w:cs="Arial"/>
          <w:b/>
          <w:bCs/>
          <w:i/>
          <w:iCs/>
          <w:lang w:val="en-US"/>
        </w:rPr>
        <w:t xml:space="preserve"> 2017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1.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Kancelarija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premijera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sve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nevladine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organizacije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registrovane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Republici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Kosovo,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čiji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je program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rada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usmeren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bilo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od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oblasti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se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odnose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zaštitu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od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diskriminacije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konkurišu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finansijsku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podršku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projekte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doprinose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promociji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zaštiti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od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diskriminacije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.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2. NVO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skladu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ovim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pozivom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mogu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apliciraju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projektima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/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programima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prioritetne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oblasti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sledećem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: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-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Podizanje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svesti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zakonskim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pravima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zaštitu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od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diskriminacije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;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6420C4">
        <w:rPr>
          <w:rFonts w:ascii="Book Antiqua" w:eastAsia="Times New Roman" w:hAnsi="Book Antiqua" w:cs="Arial"/>
          <w:i/>
          <w:iCs/>
          <w:lang w:val="en-US"/>
        </w:rPr>
        <w:t>-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Promocija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zaštite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od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diskriminacije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ugrožene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grupe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(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djeca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manjine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LGBTI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osobe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).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6420C4">
        <w:rPr>
          <w:rFonts w:ascii="Book Antiqua" w:eastAsia="Times New Roman" w:hAnsi="Book Antiqua" w:cs="Arial"/>
          <w:i/>
          <w:iCs/>
          <w:lang w:val="en-US"/>
        </w:rPr>
        <w:t>-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Promocija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jednakih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mogućnosti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osobe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ograničenim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sposobnostima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 </w:t>
      </w:r>
    </w:p>
    <w:p w:rsidR="006420C4" w:rsidRPr="006420C4" w:rsidRDefault="006420C4" w:rsidP="006420C4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jc w:val="both"/>
        <w:textAlignment w:val="top"/>
        <w:rPr>
          <w:rFonts w:ascii="Book Antiqua" w:eastAsia="Times New Roman" w:hAnsi="Book Antiqua" w:cs="Arial"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Nevladine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organizacije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mogu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konkurišu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jednim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projektom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doprinosi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promociji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zaštite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od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diskriminacije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putem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dole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predstavljenih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aktivnosti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: </w:t>
      </w:r>
    </w:p>
    <w:p w:rsidR="006420C4" w:rsidRPr="006420C4" w:rsidRDefault="006420C4" w:rsidP="006420C4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jc w:val="both"/>
        <w:rPr>
          <w:rFonts w:ascii="Book Antiqua" w:eastAsia="Times New Roman" w:hAnsi="Book Antiqua" w:cs="Arial"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Aktivnosti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ciljaju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podizanje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svesti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javnosti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zaštiti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od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diskriminacije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bilo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kojoj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od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prioritetnih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oblasti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javnog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;</w:t>
      </w:r>
    </w:p>
    <w:p w:rsidR="006420C4" w:rsidRPr="006420C4" w:rsidRDefault="006420C4" w:rsidP="006420C4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jc w:val="both"/>
        <w:rPr>
          <w:rFonts w:ascii="Book Antiqua" w:eastAsia="Times New Roman" w:hAnsi="Book Antiqua" w:cs="Arial"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Aktivnosti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imaju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cilj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podsticanje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javnih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institucija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drugih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aktera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saradnju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civilnim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društvom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promovisanju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zaštiti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od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diskriminacije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bilo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kojoj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od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prioritetnih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oblasti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javnog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;</w:t>
      </w:r>
    </w:p>
    <w:p w:rsidR="006420C4" w:rsidRPr="006420C4" w:rsidRDefault="006420C4" w:rsidP="006420C4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jc w:val="both"/>
        <w:rPr>
          <w:rFonts w:ascii="Book Antiqua" w:eastAsia="Times New Roman" w:hAnsi="Book Antiqua" w:cs="Arial"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Aktivnosti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usmerene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unapređenje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politike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vlade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oblasti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zaštite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od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diskriminacije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prioritetnim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oblastima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javnog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;</w:t>
      </w:r>
    </w:p>
    <w:p w:rsidR="006420C4" w:rsidRPr="006420C4" w:rsidRDefault="006420C4" w:rsidP="006420C4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jc w:val="both"/>
        <w:rPr>
          <w:rFonts w:ascii="Book Antiqua" w:eastAsia="Times New Roman" w:hAnsi="Book Antiqua" w:cs="Arial"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Aktivnosti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mentorstva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obuke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osoblja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NVO-a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deluju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oblasti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zaštite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unapređenja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zaštite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od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diskriminacije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;</w:t>
      </w:r>
    </w:p>
    <w:p w:rsidR="006420C4" w:rsidRPr="006420C4" w:rsidRDefault="006420C4" w:rsidP="006420C4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jc w:val="both"/>
        <w:rPr>
          <w:rFonts w:ascii="Book Antiqua" w:eastAsia="Times New Roman" w:hAnsi="Book Antiqua" w:cs="Arial"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Aktivnosti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imaju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cilj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podsticanje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komunikacije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NVO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javnošću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fokusom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informisanje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javnosti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zaštiti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od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diskriminacije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;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4.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Ukupna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planirana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vrednost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iznosi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10,000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Evra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.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Minimalni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iznos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finansijske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podrške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se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može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dodeliti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svaki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individualni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projekat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iznosi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1,500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evra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dok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maksimalni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iznos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jedan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projekat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iznosi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2,000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evra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.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5.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Krajnji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rok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dostavu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predloga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je 15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radnih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dana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završava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se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dana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08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Januara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2018.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6. NVO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mogu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konkurišu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samo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1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projektom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okviru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ovog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. Period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sprovođenje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projekta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je 6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meseci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.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Ista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NVO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može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bude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partner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nekoliko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projekata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prioritetnim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oblastima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.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Pravo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konkurisanja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svojim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projektima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imaju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NVO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registrovane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registru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nevladinih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organizacija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Republike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Kosovo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deluju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Republici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Kosovo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najmanje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godinu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(1)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dana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pre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datuma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pre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datuma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objave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javnog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. NVO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se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prijavljuju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treba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dokažu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je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njihov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program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rada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fokusiran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neku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od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prioritetnih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oblasti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javnog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. NVO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isto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tako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treba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imaju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obavljene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finansijske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transakcije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transparentan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način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osnovu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zakonodavstva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NVO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Republici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Kosovo i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skladu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pravilima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računovodstva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kao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da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ispunili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ugovorne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obaveze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prema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prema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ponuđaću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finansijske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podrške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svim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drugim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davaocima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finansijske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podrške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.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Pre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potpisivanja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ugovora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NVO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treba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dostave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dokaze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odgovorna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osoba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NVO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menadžer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projekta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nisu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pod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istragom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krivična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dela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kao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dokaze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je NVO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rešila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otvorenja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pitanja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o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plaćanju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doprinosa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poreza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bili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neplaćeni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ako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je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primenljivo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.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7.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Predlozi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se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dostavljaju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samo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okviru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predviđenog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formulara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se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zajedno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Uputstvom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aplikante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nalaze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raspolaganju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internet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stranici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Kancelarije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Premijera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.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Kompletna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dokumentacija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treba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da se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dostavi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poštom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ili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lično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dole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prikazanu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adresu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: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Kancelarija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Premijera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Trg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Majke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Tereze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b.b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. 10000,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Priština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Kancelarija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Br.607</w:t>
      </w:r>
      <w:r w:rsidRPr="006420C4">
        <w:rPr>
          <w:rFonts w:ascii="Book Antiqua" w:eastAsia="Times New Roman" w:hAnsi="Book Antiqua" w:cs="Arial"/>
          <w:i/>
          <w:iCs/>
          <w:lang w:val="en-US"/>
        </w:rPr>
        <w:br/>
      </w:r>
      <w:r w:rsidRPr="006420C4">
        <w:rPr>
          <w:rFonts w:ascii="Book Antiqua" w:eastAsia="Times New Roman" w:hAnsi="Book Antiqua" w:cs="Arial"/>
          <w:i/>
          <w:iCs/>
          <w:lang w:val="en-US"/>
        </w:rPr>
        <w:br/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Proces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prihvatanja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otvaranja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razmatranja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aplikacija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evaluacije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aplikacija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ugovaranje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davanje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fondova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lastRenderedPageBreak/>
        <w:t>vreme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način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podnošenja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žalbi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postupanje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dokumentima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i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kalendar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implementacije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detaljno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predstavljeni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Uputsvu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aplikante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javnog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. 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Za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finansijsku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podršku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će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se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uzeti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obzir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samo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projekti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primljeni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roku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propisanom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ovim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pozivom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a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koji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potpunosti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ispunjavaju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uslove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javnog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>.</w:t>
      </w:r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8.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Sva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pitanja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u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vezi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javnim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pozivom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možete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razjasniti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samo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elektronskim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putem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kod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 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gosp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.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Trendelina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Dreshaj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viši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službenik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Kancelarija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dobrog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upravljanja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,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kontaktira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je </w:t>
      </w:r>
      <w:proofErr w:type="spellStart"/>
      <w:proofErr w:type="gram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proofErr w:type="gram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e-mail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adresu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na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 </w:t>
      </w:r>
      <w:proofErr w:type="spellStart"/>
      <w:r w:rsidRPr="006420C4">
        <w:rPr>
          <w:rFonts w:ascii="Book Antiqua" w:eastAsia="Times New Roman" w:hAnsi="Book Antiqua" w:cs="Arial"/>
          <w:i/>
          <w:iCs/>
          <w:lang w:val="en-US"/>
        </w:rPr>
        <w:t>adresi</w:t>
      </w:r>
      <w:proofErr w:type="spellEnd"/>
      <w:r w:rsidRPr="006420C4">
        <w:rPr>
          <w:rFonts w:ascii="Book Antiqua" w:eastAsia="Times New Roman" w:hAnsi="Book Antiqua" w:cs="Arial"/>
          <w:i/>
          <w:iCs/>
          <w:lang w:val="en-US"/>
        </w:rPr>
        <w:t xml:space="preserve">: </w:t>
      </w:r>
      <w:hyperlink r:id="rId5" w:history="1">
        <w:r w:rsidRPr="006420C4">
          <w:rPr>
            <w:rFonts w:ascii="Book Antiqua" w:eastAsia="Times New Roman" w:hAnsi="Book Antiqua" w:cs="Arial"/>
            <w:i/>
            <w:iCs/>
            <w:lang w:val="en-US"/>
          </w:rPr>
          <w:t>trendeline.dreshaj@rks-gov.net</w:t>
        </w:r>
      </w:hyperlink>
    </w:p>
    <w:p w:rsidR="006420C4" w:rsidRPr="006420C4" w:rsidRDefault="006420C4" w:rsidP="006420C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val="en-US"/>
        </w:rPr>
      </w:pPr>
      <w:hyperlink r:id="rId6" w:history="1"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OBJAŠNJENJE- Datum</w:t>
        </w:r>
        <w:proofErr w:type="gram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:05.01.2018</w:t>
        </w:r>
        <w:proofErr w:type="gram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, u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vezi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za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poziv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za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javno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objavljivanje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javne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finansijske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podrške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za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projekte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nevladinih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organizacija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u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oblasti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zaštite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od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 xml:space="preserve"> </w:t>
        </w:r>
        <w:proofErr w:type="spellStart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diskriminacije</w:t>
        </w:r>
        <w:proofErr w:type="spellEnd"/>
        <w:r w:rsidRPr="006420C4">
          <w:rPr>
            <w:rFonts w:ascii="Book Antiqua" w:eastAsia="Times New Roman" w:hAnsi="Book Antiqua" w:cs="Arial"/>
            <w:b/>
            <w:bCs/>
            <w:u w:val="single"/>
            <w:lang w:val="en-US"/>
          </w:rPr>
          <w:t>.</w:t>
        </w:r>
      </w:hyperlink>
    </w:p>
    <w:p w:rsidR="00A4311D" w:rsidRPr="006420C4" w:rsidRDefault="00A4311D" w:rsidP="006420C4">
      <w:pPr>
        <w:spacing w:after="0" w:line="240" w:lineRule="auto"/>
        <w:rPr>
          <w:rFonts w:ascii="Book Antiqua" w:hAnsi="Book Antiqua"/>
        </w:rPr>
      </w:pPr>
    </w:p>
    <w:sectPr w:rsidR="00A4311D" w:rsidRPr="00642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none Kaffeesatz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124AB"/>
    <w:multiLevelType w:val="multilevel"/>
    <w:tmpl w:val="D318F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334E4"/>
    <w:multiLevelType w:val="multilevel"/>
    <w:tmpl w:val="A012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C4"/>
    <w:rsid w:val="006420C4"/>
    <w:rsid w:val="00A4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38E21-A3B4-4809-8ACD-7F62C452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0C4"/>
    <w:rPr>
      <w:rFonts w:ascii="Arial" w:hAnsi="Arial" w:cs="Arial" w:hint="default"/>
      <w:strike w:val="0"/>
      <w:dstrike w:val="0"/>
      <w:color w:val="223F9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420C4"/>
    <w:rPr>
      <w:i/>
      <w:iCs/>
      <w:spacing w:val="0"/>
    </w:rPr>
  </w:style>
  <w:style w:type="character" w:styleId="Strong">
    <w:name w:val="Strong"/>
    <w:basedOn w:val="DefaultParagraphFont"/>
    <w:uiPriority w:val="22"/>
    <w:qFormat/>
    <w:rsid w:val="006420C4"/>
    <w:rPr>
      <w:b/>
      <w:bCs/>
      <w:color w:val="333333"/>
    </w:rPr>
  </w:style>
  <w:style w:type="paragraph" w:styleId="NormalWeb">
    <w:name w:val="Normal (Web)"/>
    <w:basedOn w:val="Normal"/>
    <w:uiPriority w:val="99"/>
    <w:semiHidden/>
    <w:unhideWhenUsed/>
    <w:rsid w:val="006420C4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detailstitle1">
    <w:name w:val="sadetailstitle1"/>
    <w:basedOn w:val="DefaultParagraphFont"/>
    <w:rsid w:val="006420C4"/>
    <w:rPr>
      <w:rFonts w:ascii="Yanone Kaffeesatz" w:hAnsi="Yanone Kaffeesatz" w:hint="default"/>
      <w:i w:val="0"/>
      <w:iCs w:val="0"/>
      <w:color w:val="E36C09"/>
      <w:sz w:val="30"/>
      <w:szCs w:val="30"/>
    </w:rPr>
  </w:style>
  <w:style w:type="character" w:customStyle="1" w:styleId="sadetailsdate1">
    <w:name w:val="sadetailsdate1"/>
    <w:basedOn w:val="DefaultParagraphFont"/>
    <w:rsid w:val="006420C4"/>
    <w:rPr>
      <w:rFonts w:ascii="Yanone Kaffeesatz" w:hAnsi="Yanone Kaffeesatz" w:hint="default"/>
      <w:i w:val="0"/>
      <w:iCs w:val="0"/>
      <w:color w:val="FFA5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2548">
                      <w:marLeft w:val="39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4375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79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93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1627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qm.rks-gov.net/Portals/0/Sqarim%20per%20thirrjen%20per%20shpalljen%20publike%20per%20mbeshtetje%20financiare%20publike%20per%20projektet%20e%20OJQve%20SRB.doc" TargetMode="External"/><Relationship Id="rId5" Type="http://schemas.openxmlformats.org/officeDocument/2006/relationships/hyperlink" Target="mailto:trendeline.dreshaj@rks-g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Fatmire Ibrahimi</dc:creator>
  <cp:keywords/>
  <dc:description/>
  <cp:lastModifiedBy>Fatmire Ibrahimi</cp:lastModifiedBy>
  <cp:revision>1</cp:revision>
  <dcterms:created xsi:type="dcterms:W3CDTF">2018-01-09T13:38:00Z</dcterms:created>
  <dcterms:modified xsi:type="dcterms:W3CDTF">2018-01-09T13:39:00Z</dcterms:modified>
</cp:coreProperties>
</file>