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62C9FD9" wp14:editId="48FCF80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6022E" w:rsidRPr="000E2B23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6022E" w:rsidRPr="000E2B23" w:rsidRDefault="00E6022E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 xml:space="preserve">aprila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E6022E" w:rsidRPr="000E2B23" w:rsidRDefault="00E6022E" w:rsidP="00E6022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6022E" w:rsidRPr="000E2B23" w:rsidRDefault="00E6022E" w:rsidP="00E6022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E6022E" w:rsidRPr="000E2B23" w:rsidRDefault="00E6022E" w:rsidP="00E6022E">
      <w:pPr>
        <w:jc w:val="center"/>
        <w:rPr>
          <w:rFonts w:ascii="Book Antiqua" w:hAnsi="Book Antiqua"/>
          <w:b/>
          <w:bCs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1. Usvaja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ju </w:t>
      </w:r>
      <w:r w:rsidRPr="000E2B23">
        <w:rPr>
          <w:rFonts w:ascii="Book Antiqua" w:eastAsia="MS Mincho" w:hAnsi="Book Antiqua" w:cs="Times New Roman"/>
          <w:noProof w:val="0"/>
          <w:lang w:val="sr-Latn-RS"/>
        </w:rPr>
        <w:t xml:space="preserve"> se izvod</w:t>
      </w:r>
      <w:r>
        <w:rPr>
          <w:rFonts w:ascii="Book Antiqua" w:eastAsia="MS Mincho" w:hAnsi="Book Antiqua" w:cs="Times New Roman"/>
          <w:noProof w:val="0"/>
          <w:lang w:val="sr-Latn-RS"/>
        </w:rPr>
        <w:t>i</w:t>
      </w:r>
      <w:r w:rsidRPr="000E2B23">
        <w:rPr>
          <w:rFonts w:ascii="Book Antiqua" w:eastAsia="MS Mincho" w:hAnsi="Book Antiqua" w:cs="Times New Roman"/>
          <w:noProof w:val="0"/>
          <w:lang w:val="sr-Latn-RS"/>
        </w:rPr>
        <w:t xml:space="preserve"> zapisnika i transkripti sa </w:t>
      </w:r>
      <w:r>
        <w:rPr>
          <w:rFonts w:ascii="Book Antiqua" w:eastAsia="MS Mincho" w:hAnsi="Book Antiqua" w:cs="Times New Roman"/>
          <w:noProof w:val="0"/>
          <w:lang w:val="sr-Latn-RS"/>
        </w:rPr>
        <w:t>82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i </w:t>
      </w:r>
      <w:r>
        <w:rPr>
          <w:rFonts w:ascii="Book Antiqua" w:eastAsia="MS Mincho" w:hAnsi="Book Antiqua" w:cs="Times New Roman"/>
          <w:noProof w:val="0"/>
          <w:lang w:val="sr-Latn-RS"/>
        </w:rPr>
        <w:t>83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0E2B23">
        <w:rPr>
          <w:rFonts w:ascii="Book Antiqua" w:eastAsia="MS Mincho" w:hAnsi="Book Antiqua" w:cs="Times New Roman"/>
          <w:noProof w:val="0"/>
          <w:lang w:val="sr-Latn-RS"/>
        </w:rPr>
        <w:t xml:space="preserve"> sednice Vlade.   </w:t>
      </w: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3.  Odluka stupa na snagu danom  potpisivanja.</w:t>
      </w: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E6022E" w:rsidRPr="000E2B23" w:rsidRDefault="00E6022E" w:rsidP="00E6022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6FCF438" wp14:editId="6131EF2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6022E" w:rsidRPr="000E2B23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6022E" w:rsidRPr="000E2B23" w:rsidRDefault="00E6022E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04.2016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noProof w:val="0"/>
          <w:color w:val="000000"/>
        </w:rPr>
        <w:t>člana</w:t>
      </w:r>
      <w:r w:rsidRPr="008F0C04">
        <w:rPr>
          <w:rFonts w:ascii="Book Antiqua" w:hAnsi="Book Antiqua"/>
          <w:noProof w:val="0"/>
          <w:color w:val="000000"/>
        </w:rPr>
        <w:t xml:space="preserve"> 29 </w:t>
      </w:r>
      <w:r>
        <w:rPr>
          <w:rFonts w:ascii="Book Antiqua" w:hAnsi="Book Antiqua"/>
          <w:noProof w:val="0"/>
          <w:color w:val="000000"/>
        </w:rPr>
        <w:t>Zakona b</w:t>
      </w:r>
      <w:r w:rsidRPr="008F0C04">
        <w:rPr>
          <w:rFonts w:ascii="Book Antiqua" w:hAnsi="Book Antiqua"/>
          <w:noProof w:val="0"/>
          <w:color w:val="000000"/>
        </w:rPr>
        <w:t xml:space="preserve">r. 03/L-048 </w:t>
      </w:r>
      <w:r>
        <w:rPr>
          <w:rFonts w:ascii="Book Antiqua" w:hAnsi="Book Antiqua"/>
          <w:noProof w:val="0"/>
          <w:color w:val="000000"/>
        </w:rPr>
        <w:t>o upravljanju javnim finansijama i odgovornostima</w:t>
      </w:r>
      <w:r w:rsidRPr="008F0C04">
        <w:rPr>
          <w:rFonts w:ascii="Book Antiqua" w:hAnsi="Book Antiqua"/>
          <w:noProof w:val="0"/>
          <w:color w:val="000000"/>
        </w:rPr>
        <w:t xml:space="preserve">, </w:t>
      </w:r>
      <w:r>
        <w:rPr>
          <w:rFonts w:ascii="Book Antiqua" w:hAnsi="Book Antiqua"/>
          <w:noProof w:val="0"/>
          <w:color w:val="000000"/>
        </w:rPr>
        <w:t xml:space="preserve">sa izvršenim izmenama i dopunama </w:t>
      </w:r>
      <w:r>
        <w:rPr>
          <w:rFonts w:ascii="Book Antiqua" w:eastAsia="MS Mincho" w:hAnsi="Book Antiqua" w:cs="Times New Roman"/>
          <w:noProof w:val="0"/>
          <w:color w:val="000000"/>
        </w:rPr>
        <w:t>,</w:t>
      </w:r>
      <w:r w:rsidRPr="000E2B23">
        <w:rPr>
          <w:rFonts w:ascii="Book Antiqua" w:hAnsi="Book Antiqua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 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E6022E" w:rsidRPr="000E2B23" w:rsidRDefault="00E6022E" w:rsidP="00E6022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6022E" w:rsidRPr="000E2B23" w:rsidRDefault="00E6022E" w:rsidP="00E6022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E6022E" w:rsidRPr="000E2B23" w:rsidRDefault="00E6022E" w:rsidP="00E6022E">
      <w:pPr>
        <w:jc w:val="center"/>
        <w:rPr>
          <w:rFonts w:ascii="Book Antiqua" w:hAnsi="Book Antiqua"/>
          <w:b/>
          <w:bCs/>
          <w:lang w:val="sr-Latn-RS"/>
        </w:rPr>
      </w:pPr>
    </w:p>
    <w:p w:rsidR="00E6022E" w:rsidRPr="00E6022E" w:rsidRDefault="00E6022E" w:rsidP="00E6022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6022E">
        <w:rPr>
          <w:rFonts w:ascii="Book Antiqua" w:eastAsia="MS Mincho" w:hAnsi="Book Antiqua" w:cs="Times New Roman"/>
          <w:noProof w:val="0"/>
          <w:lang w:val="sr-Latn-RS"/>
        </w:rPr>
        <w:t>Usvaja</w:t>
      </w:r>
      <w:r w:rsidRPr="00E6022E">
        <w:rPr>
          <w:rFonts w:ascii="Book Antiqua" w:eastAsia="MS Mincho" w:hAnsi="Book Antiqua" w:cs="Times New Roman"/>
          <w:noProof w:val="0"/>
          <w:lang w:val="sr-Latn-RS"/>
        </w:rPr>
        <w:t xml:space="preserve"> se srednjoročni okvir troškova za 2017-2019 godinu. </w:t>
      </w:r>
    </w:p>
    <w:p w:rsidR="00E6022E" w:rsidRDefault="00E6022E" w:rsidP="00E6022E">
      <w:pPr>
        <w:pStyle w:val="ListParagraph"/>
        <w:spacing w:after="0" w:line="240" w:lineRule="auto"/>
        <w:ind w:firstLine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Default="00E6022E" w:rsidP="00E6022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E6022E" w:rsidRDefault="00E6022E" w:rsidP="00E6022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6022E">
        <w:rPr>
          <w:rFonts w:ascii="Book Antiqua" w:eastAsia="MS Mincho" w:hAnsi="Book Antiqua" w:cs="Times New Roman"/>
          <w:noProof w:val="0"/>
          <w:lang w:val="sr-Latn-RS"/>
        </w:rPr>
        <w:t>Obavezuje se generalni sekretar Kancelarije Premijera da okvir iz tačke 1 ove odluke prosledi Skupštini Kosova Republike Kosova.</w:t>
      </w:r>
    </w:p>
    <w:p w:rsidR="00E6022E" w:rsidRPr="000E2B23" w:rsidRDefault="00E6022E" w:rsidP="00E6022E">
      <w:pPr>
        <w:spacing w:after="0" w:line="240" w:lineRule="auto"/>
        <w:ind w:left="360" w:firstLine="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E6022E" w:rsidRDefault="00E6022E" w:rsidP="00E6022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6022E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E6022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E6022E" w:rsidRPr="000E2B23" w:rsidRDefault="00E6022E" w:rsidP="00E6022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>
        <w:rPr>
          <w:rFonts w:ascii="Book Antiqua" w:hAnsi="Book Antiqua"/>
          <w:lang w:val="sr-Latn-RS"/>
        </w:rPr>
        <w:t xml:space="preserve">Poslovnika </w:t>
      </w:r>
      <w:r w:rsidRPr="000E2B23">
        <w:rPr>
          <w:rFonts w:ascii="Book Antiqua" w:hAnsi="Book Antiqua"/>
          <w:lang w:val="sr-Latn-RS"/>
        </w:rPr>
        <w:t>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8E7B3A"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0E2B23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Pr="008E7B3A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E7B3A">
        <w:rPr>
          <w:rFonts w:ascii="Book Antiqua" w:eastAsia="MS Mincho" w:hAnsi="Book Antiqua" w:cs="Times New Roman"/>
          <w:noProof w:val="0"/>
        </w:rPr>
        <w:t xml:space="preserve">Usvaja se  nacrt zakona za popis stanovništva, domaćinstava i stanova u kosovskim opštinama koje nisu učestvovale u popisu 2011.godine </w:t>
      </w:r>
    </w:p>
    <w:p w:rsidR="008E7B3A" w:rsidRPr="008E7B3A" w:rsidRDefault="008E7B3A" w:rsidP="008E7B3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8E7B3A" w:rsidRPr="008E7B3A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E7B3A">
        <w:rPr>
          <w:rFonts w:ascii="Book Antiqua" w:eastAsia="MS Mincho" w:hAnsi="Book Antiqua" w:cs="Times New Roman"/>
          <w:noProof w:val="0"/>
        </w:rPr>
        <w:t xml:space="preserve">Generalni sekretar Kancelarije premijera je dužan da nacrt zakona iz stava 1. ove odluke procesuira na razmatranje i usvajanje Skupštine Kosova. </w:t>
      </w:r>
    </w:p>
    <w:p w:rsidR="008E7B3A" w:rsidRPr="008E7B3A" w:rsidRDefault="008E7B3A" w:rsidP="008E7B3A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E7B3A" w:rsidRPr="008E7B3A" w:rsidRDefault="008E7B3A" w:rsidP="008E7B3A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E7B3A">
        <w:rPr>
          <w:rFonts w:ascii="Book Antiqua" w:eastAsia="MS Mincho" w:hAnsi="Book Antiqua" w:cs="Times New Roman"/>
          <w:noProof w:val="0"/>
        </w:rPr>
        <w:t>Odluka stupa na snagu danom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E32BF"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Pr="008E7B3A" w:rsidRDefault="008E7B3A" w:rsidP="008E7B3A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 xml:space="preserve">Usvaja se  Nacrt zakona o ratifikaciji  Sporazuma o zajmu između Republike Kosova i Evropske banke za obnovu i razvoj za rehabilitaciju regionalnih puteva. </w:t>
      </w:r>
    </w:p>
    <w:p w:rsidR="008E7B3A" w:rsidRPr="00650D7C" w:rsidRDefault="008E7B3A" w:rsidP="008E7B3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Pr="008E7B3A" w:rsidRDefault="008E7B3A" w:rsidP="008E7B3A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 xml:space="preserve">Generalni sekretar  Kancelarije premijera je  dužan  da nacrt zakona iz tačke  1 . ove odluke procesuira na razmatranje i usvajanje  u Skupštini Kosova </w:t>
      </w:r>
    </w:p>
    <w:p w:rsidR="008E7B3A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9533E" w:rsidRPr="008E7B3A" w:rsidRDefault="008E7B3A" w:rsidP="008E7B3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>Odluka stupa na snagu  danom potpisivanja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Pr="000E2B23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E76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FE32B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Default="004865B5" w:rsidP="00C9533E">
      <w:pPr>
        <w:jc w:val="both"/>
        <w:rPr>
          <w:rFonts w:ascii="Book Antiqua" w:hAnsi="Book Antiqua"/>
          <w:color w:val="000000"/>
          <w:lang w:val="sr-Latn-RS"/>
        </w:rPr>
      </w:pP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3E7672">
        <w:rPr>
          <w:rFonts w:ascii="Book Antiqua" w:hAnsi="Book Antiqua"/>
          <w:color w:val="000000"/>
          <w:lang w:val="sr-Latn-RS"/>
        </w:rPr>
        <w:t>,</w:t>
      </w:r>
      <w:r w:rsidR="00F624C1"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E7B3A"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743FD"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865B5" w:rsidRPr="000E2B23" w:rsidRDefault="004865B5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471FC4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Pr="008E7B3A" w:rsidRDefault="008E7B3A" w:rsidP="008E7B3A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 xml:space="preserve">Usvaja se  Nacrt zakona o ratifikaciji </w:t>
      </w:r>
      <w:r>
        <w:rPr>
          <w:rFonts w:ascii="Book Antiqua" w:eastAsia="MS Mincho" w:hAnsi="Book Antiqua" w:cs="Times New Roman"/>
          <w:noProof w:val="0"/>
          <w:color w:val="000000"/>
        </w:rPr>
        <w:t>finansijskog s</w:t>
      </w:r>
      <w:r w:rsidRPr="008E7B3A">
        <w:rPr>
          <w:rFonts w:ascii="Book Antiqua" w:eastAsia="MS Mincho" w:hAnsi="Book Antiqua" w:cs="Times New Roman"/>
          <w:noProof w:val="0"/>
          <w:color w:val="000000"/>
        </w:rPr>
        <w:t>porazuma između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Vlade</w:t>
      </w:r>
      <w:r w:rsidRPr="008E7B3A">
        <w:rPr>
          <w:rFonts w:ascii="Book Antiqua" w:eastAsia="MS Mincho" w:hAnsi="Book Antiqua" w:cs="Times New Roman"/>
          <w:noProof w:val="0"/>
          <w:color w:val="000000"/>
        </w:rPr>
        <w:t xml:space="preserve"> Republike Kosova i Evropske investicione banke za Projekat rehabilitacije železničke  pruge 10. </w:t>
      </w:r>
    </w:p>
    <w:p w:rsidR="008E7B3A" w:rsidRDefault="008E7B3A" w:rsidP="008E7B3A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Pr="008E7B3A" w:rsidRDefault="008E7B3A" w:rsidP="008E7B3A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>Generalni sekretar  Kancelarije premijera je  dužan  da nacrt zakona iz tačke  1 . ove odluke pro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sledi </w:t>
      </w:r>
      <w:r w:rsidRPr="008E7B3A">
        <w:rPr>
          <w:rFonts w:ascii="Book Antiqua" w:eastAsia="MS Mincho" w:hAnsi="Book Antiqua" w:cs="Times New Roman"/>
          <w:noProof w:val="0"/>
          <w:color w:val="000000"/>
        </w:rPr>
        <w:t xml:space="preserve">na razmatranje i usvajanje  u Skupštini Kosova </w:t>
      </w:r>
    </w:p>
    <w:p w:rsidR="008E7B3A" w:rsidRPr="00650D7C" w:rsidRDefault="008E7B3A" w:rsidP="008E7B3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Pr="008E7B3A" w:rsidRDefault="008E7B3A" w:rsidP="008E7B3A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>Odluka stupa na snagu  danom potpisivanja.</w:t>
      </w:r>
    </w:p>
    <w:p w:rsidR="008E7B3A" w:rsidRPr="00650D7C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</w:p>
    <w:p w:rsidR="00C9533E" w:rsidRPr="000E2B23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0E2B23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Default="0063250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Default="0063250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Default="0063250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4C28E548" wp14:editId="57F0E20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8F0C04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632508" w:rsidRPr="008F0C04" w:rsidRDefault="00632508" w:rsidP="006325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7126A1" w:rsidRPr="000E2B23" w:rsidRDefault="007126A1" w:rsidP="007126A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7126A1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26A1" w:rsidRPr="000E2B23" w:rsidRDefault="007126A1" w:rsidP="007126A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7126A1" w:rsidRPr="000E2B23" w:rsidRDefault="007126A1" w:rsidP="007126A1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632508" w:rsidRPr="008F0C04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7126A1" w:rsidRDefault="007126A1" w:rsidP="007126A1">
      <w:pPr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  <w:r w:rsidRPr="007126A1">
        <w:rPr>
          <w:rFonts w:ascii="Book Antiqua" w:eastAsia="MS Mincho" w:hAnsi="Book Antiqua" w:cs="Times New Roman"/>
          <w:noProof w:val="0"/>
          <w:color w:val="000000"/>
        </w:rPr>
        <w:t>Usvaja se Uredba o minimalnim standardim</w:t>
      </w:r>
      <w:r>
        <w:rPr>
          <w:rFonts w:ascii="Book Antiqua" w:eastAsia="MS Mincho" w:hAnsi="Book Antiqua" w:cs="Times New Roman"/>
          <w:noProof w:val="0"/>
          <w:color w:val="000000"/>
        </w:rPr>
        <w:t>a za proces javnih konsultacija.</w:t>
      </w:r>
    </w:p>
    <w:p w:rsidR="007126A1" w:rsidRDefault="007126A1" w:rsidP="007126A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7126A1" w:rsidRDefault="007126A1" w:rsidP="007126A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7126A1" w:rsidRDefault="007126A1" w:rsidP="007126A1">
      <w:pPr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  <w:r w:rsidRPr="007126A1">
        <w:rPr>
          <w:rFonts w:ascii="Book Antiqua" w:eastAsia="MS Mincho" w:hAnsi="Book Antiqua" w:cs="Book Antiqua"/>
          <w:noProof w:val="0"/>
          <w:color w:val="000000"/>
        </w:rPr>
        <w:t xml:space="preserve">Kancelarija premijera i ostale ovlešćene institucije se obavezuju na sprovođenje Uredbe iz tačke 1 ove odluke. </w:t>
      </w:r>
    </w:p>
    <w:p w:rsidR="007126A1" w:rsidRPr="007126A1" w:rsidRDefault="007126A1" w:rsidP="007126A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7126A1" w:rsidRPr="008E7B3A" w:rsidRDefault="007126A1" w:rsidP="007126A1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>Odluka stupa na snagu  danom potpisivanja.</w:t>
      </w:r>
    </w:p>
    <w:p w:rsidR="007126A1" w:rsidRPr="00650D7C" w:rsidRDefault="007126A1" w:rsidP="007126A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</w:p>
    <w:p w:rsidR="00632508" w:rsidRDefault="00632508" w:rsidP="00632508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8F0C04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8F0C04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Pr="000E2B23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48031E56" wp14:editId="3AAFAC4C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8F0C04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0E2B23" w:rsidRDefault="00632508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8F0C04">
        <w:rPr>
          <w:rFonts w:ascii="Book Antiqua" w:eastAsia="MS Mincho" w:hAnsi="Book Antiqua" w:cs="Times New Roman"/>
          <w:noProof w:val="0"/>
          <w:color w:val="000000"/>
        </w:rPr>
        <w:t xml:space="preserve">                       </w:t>
      </w:r>
      <w:r w:rsidR="007126A1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126A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7126A1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126A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7126A1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2508" w:rsidRPr="008F0C04" w:rsidRDefault="007126A1" w:rsidP="003C4147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32508" w:rsidRDefault="00632508" w:rsidP="0063250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C4147" w:rsidRPr="000E2B23" w:rsidRDefault="003C4147" w:rsidP="003C4147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632508" w:rsidRPr="008F0C04" w:rsidRDefault="00632508" w:rsidP="0063250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7126A1" w:rsidRPr="007126A1" w:rsidRDefault="007126A1" w:rsidP="007126A1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  <w:r w:rsidRPr="007126A1">
        <w:rPr>
          <w:rFonts w:ascii="Book Antiqua" w:eastAsia="MS Mincho" w:hAnsi="Book Antiqua" w:cs="Times New Roman"/>
          <w:noProof w:val="0"/>
          <w:color w:val="000000"/>
        </w:rPr>
        <w:t xml:space="preserve">Usvaja se Uredba o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utvrđivanju kriterijuma i procedure </w:t>
      </w:r>
      <w:r w:rsidR="003C4147">
        <w:rPr>
          <w:rFonts w:ascii="Book Antiqua" w:eastAsia="MS Mincho" w:hAnsi="Book Antiqua" w:cs="Times New Roman"/>
          <w:noProof w:val="0"/>
          <w:color w:val="000000"/>
        </w:rPr>
        <w:t>za upotrebu/k</w:t>
      </w:r>
      <w:r>
        <w:rPr>
          <w:rFonts w:ascii="Book Antiqua" w:eastAsia="MS Mincho" w:hAnsi="Book Antiqua" w:cs="Times New Roman"/>
          <w:noProof w:val="0"/>
          <w:color w:val="000000"/>
        </w:rPr>
        <w:t>orišćenja robe konfiskovane na carini</w:t>
      </w:r>
      <w:r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7126A1" w:rsidRDefault="007126A1" w:rsidP="007126A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7126A1" w:rsidRDefault="007126A1" w:rsidP="007126A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7126A1" w:rsidRPr="007126A1" w:rsidRDefault="003C4147" w:rsidP="007126A1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  <w:r>
        <w:rPr>
          <w:rFonts w:ascii="Book Antiqua" w:eastAsia="MS Mincho" w:hAnsi="Book Antiqua" w:cs="Book Antiqua"/>
          <w:noProof w:val="0"/>
          <w:color w:val="000000"/>
        </w:rPr>
        <w:t>Ministarstvo finansija i ostale ovla</w:t>
      </w:r>
      <w:r w:rsidR="007126A1" w:rsidRPr="007126A1">
        <w:rPr>
          <w:rFonts w:ascii="Book Antiqua" w:eastAsia="MS Mincho" w:hAnsi="Book Antiqua" w:cs="Book Antiqua"/>
          <w:noProof w:val="0"/>
          <w:color w:val="000000"/>
        </w:rPr>
        <w:t xml:space="preserve">šćene institucije se obavezuju na sprovođenje Uredbe iz tačke 1 ove odluke. </w:t>
      </w:r>
    </w:p>
    <w:p w:rsidR="007126A1" w:rsidRPr="007126A1" w:rsidRDefault="007126A1" w:rsidP="007126A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7126A1" w:rsidRPr="008E7B3A" w:rsidRDefault="007126A1" w:rsidP="007126A1">
      <w:pPr>
        <w:pStyle w:val="ListParagraph"/>
        <w:numPr>
          <w:ilvl w:val="0"/>
          <w:numId w:val="2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E7B3A">
        <w:rPr>
          <w:rFonts w:ascii="Book Antiqua" w:eastAsia="MS Mincho" w:hAnsi="Book Antiqua" w:cs="Times New Roman"/>
          <w:noProof w:val="0"/>
          <w:color w:val="000000"/>
        </w:rPr>
        <w:t>Odluka stupa na snagu  danom potpisivanja.</w:t>
      </w:r>
    </w:p>
    <w:p w:rsidR="007126A1" w:rsidRPr="00650D7C" w:rsidRDefault="007126A1" w:rsidP="007126A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</w:p>
    <w:p w:rsidR="007126A1" w:rsidRPr="007126A1" w:rsidRDefault="007126A1" w:rsidP="007126A1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C4147" w:rsidRDefault="003C414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C4147" w:rsidRDefault="003C414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C4147" w:rsidRPr="000E2B23" w:rsidRDefault="003C414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1BFD754" wp14:editId="47B49698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126A1" w:rsidRPr="008F0C04" w:rsidRDefault="007126A1" w:rsidP="007126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8F0C04" w:rsidRDefault="007126A1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3C4147" w:rsidRPr="000E2B23" w:rsidRDefault="007126A1" w:rsidP="003C414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0C04">
        <w:rPr>
          <w:rFonts w:ascii="Book Antiqua" w:eastAsia="MS Mincho" w:hAnsi="Book Antiqua" w:cs="Times New Roman"/>
          <w:noProof w:val="0"/>
          <w:color w:val="000000"/>
        </w:rPr>
        <w:t xml:space="preserve">                       </w:t>
      </w:r>
      <w:r w:rsidR="003C4147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3C41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3C4147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C41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3C4147" w:rsidRDefault="003C4147" w:rsidP="003C414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3C414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C4147" w:rsidRPr="008F0C04" w:rsidRDefault="003C4147" w:rsidP="003C4147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3C4147" w:rsidRDefault="003C4147" w:rsidP="003C414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C4147" w:rsidRPr="000E2B23" w:rsidRDefault="003C4147" w:rsidP="003C4147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7126A1" w:rsidRPr="008F0C04" w:rsidRDefault="007126A1" w:rsidP="003C4147">
      <w:pPr>
        <w:spacing w:after="0" w:line="240" w:lineRule="auto"/>
        <w:ind w:left="6480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FA0207" w:rsidRPr="00FA0207" w:rsidRDefault="00FA0207" w:rsidP="00FA0207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noProof w:val="0"/>
          <w:color w:val="000000"/>
        </w:rPr>
        <w:t>Dodeljuju se sredstva u iznosu od 20.000,00 (dvadeset hiljada) evra za ispunjenje finansijskog doprinosa od strane Republike Kosovo, za operativni deo,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za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2016 godinu, u Centru za bezbednosnu saradnju (RACVIAC), sa sedištem u Zagrebu. </w:t>
      </w:r>
    </w:p>
    <w:p w:rsidR="00FA0207" w:rsidRPr="00FA0207" w:rsidRDefault="00FA0207" w:rsidP="00FA0207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A0207" w:rsidRPr="00FA0207" w:rsidRDefault="00FA0207" w:rsidP="00FA0207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noProof w:val="0"/>
          <w:color w:val="000000"/>
        </w:rPr>
        <w:t>Sredstva iz stava 1. ove odluke se izdvajaju iz nepredviđenih troškova koda 232, pod-program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>a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sa kodom 13100, ekonomska kategorija rezervi i prebacuju se 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>na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Ministarstvo finansija sa kodom 201, pod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program Trezor, sa kodom 11200</w:t>
      </w:r>
      <w:r w:rsidRPr="00FA0207">
        <w:rPr>
          <w:rFonts w:ascii="Book Antiqua" w:eastAsia="MS Mincho" w:hAnsi="Book Antiqua" w:cs="Times New Roman"/>
          <w:noProof w:val="0"/>
          <w:color w:val="000000"/>
        </w:rPr>
        <w:t>, u ekonomsku kategoriju subvencije i transferi i prenose  se na račun Centra za bezbednosnu saradnju (RACVIAC)</w:t>
      </w:r>
    </w:p>
    <w:p w:rsidR="007126A1" w:rsidRPr="00FA0207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4"/>
          <w:szCs w:val="14"/>
        </w:rPr>
      </w:pPr>
    </w:p>
    <w:p w:rsidR="007126A1" w:rsidRPr="00FA0207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       </w:t>
      </w:r>
      <w:r w:rsidRPr="00FA0207">
        <w:rPr>
          <w:rFonts w:ascii="Book Antiqua" w:eastAsia="MS Mincho" w:hAnsi="Book Antiqua" w:cs="Times New Roman"/>
          <w:b/>
          <w:noProof w:val="0"/>
          <w:color w:val="000000"/>
        </w:rPr>
        <w:t>RACVIAC-Centre for Securicy Cooperation</w:t>
      </w:r>
    </w:p>
    <w:p w:rsidR="007126A1" w:rsidRPr="00FA0207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b/>
          <w:noProof w:val="0"/>
          <w:color w:val="000000"/>
        </w:rPr>
        <w:t xml:space="preserve">       IBAN: HR8023600001102228360</w:t>
      </w:r>
    </w:p>
    <w:p w:rsidR="007126A1" w:rsidRPr="00FA0207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b/>
          <w:noProof w:val="0"/>
          <w:color w:val="000000"/>
        </w:rPr>
        <w:t xml:space="preserve">       SWIFT: ZABA HR2x</w:t>
      </w:r>
    </w:p>
    <w:p w:rsidR="007126A1" w:rsidRPr="00AF0A54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b/>
          <w:noProof w:val="0"/>
          <w:color w:val="000000"/>
        </w:rPr>
        <w:t xml:space="preserve">       ZAGREBACKA BANKA</w:t>
      </w:r>
      <w:r w:rsidRPr="00AF0A54">
        <w:rPr>
          <w:rFonts w:ascii="Book Antiqua" w:eastAsia="MS Mincho" w:hAnsi="Book Antiqua" w:cs="Times New Roman"/>
          <w:b/>
          <w:noProof w:val="0"/>
          <w:color w:val="000000"/>
        </w:rPr>
        <w:t xml:space="preserve">  </w:t>
      </w:r>
    </w:p>
    <w:p w:rsidR="007126A1" w:rsidRPr="008F0C04" w:rsidRDefault="007126A1" w:rsidP="007126A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C4147" w:rsidRPr="003C4147" w:rsidRDefault="003C4147" w:rsidP="003C4147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3C4147">
        <w:rPr>
          <w:rFonts w:ascii="Book Antiqua" w:eastAsia="MS Mincho" w:hAnsi="Book Antiqua" w:cs="Times New Roman"/>
          <w:noProof w:val="0"/>
          <w:color w:val="000000"/>
        </w:rPr>
        <w:t xml:space="preserve">Obavezje se  Ministarstvo finansija i </w:t>
      </w:r>
      <w:r w:rsidRPr="003C4147">
        <w:rPr>
          <w:rFonts w:ascii="Book Antiqua" w:eastAsia="MS Mincho" w:hAnsi="Book Antiqua" w:cs="Times New Roman"/>
          <w:noProof w:val="0"/>
          <w:color w:val="000000"/>
        </w:rPr>
        <w:t>ministarstvo spoljnih poslova</w:t>
      </w:r>
      <w:r w:rsidRPr="003C4147">
        <w:rPr>
          <w:rFonts w:ascii="Book Antiqua" w:eastAsia="MS Mincho" w:hAnsi="Book Antiqua" w:cs="Times New Roman"/>
          <w:noProof w:val="0"/>
          <w:color w:val="000000"/>
        </w:rPr>
        <w:t xml:space="preserve"> za sprovođenje ove odluke </w:t>
      </w:r>
    </w:p>
    <w:p w:rsidR="003C4147" w:rsidRPr="003C4147" w:rsidRDefault="003C4147" w:rsidP="003C4147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3C4147" w:rsidRPr="003C4147" w:rsidRDefault="003C4147" w:rsidP="003C4147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3C4147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7126A1" w:rsidRPr="008F0C04" w:rsidRDefault="007126A1" w:rsidP="007126A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8F0C04" w:rsidRDefault="007126A1" w:rsidP="007126A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Pr="000E2B23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Pr="000E2B23" w:rsidRDefault="007126A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EE1E35E" wp14:editId="7ADC70E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743FD" w:rsidRPr="000E2B23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743FD" w:rsidRPr="000E2B23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743FD" w:rsidRPr="000E2B23" w:rsidRDefault="000743FD" w:rsidP="000743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63250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B2A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0743FD" w:rsidRDefault="000743FD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743FD" w:rsidRPr="000E2B23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F624C1">
        <w:rPr>
          <w:rFonts w:ascii="Book Antiqua" w:eastAsia="MS Mincho" w:hAnsi="Book Antiqua" w:cs="Times New Roman"/>
          <w:noProof w:val="0"/>
          <w:color w:val="000000"/>
        </w:rPr>
        <w:t xml:space="preserve">člana </w:t>
      </w:r>
      <w:r>
        <w:rPr>
          <w:rFonts w:ascii="Book Antiqua" w:eastAsia="MS Mincho" w:hAnsi="Book Antiqua" w:cs="Times New Roman"/>
          <w:noProof w:val="0"/>
          <w:color w:val="000000"/>
        </w:rPr>
        <w:t>1</w:t>
      </w:r>
      <w:r w:rsidR="008E7B3A">
        <w:rPr>
          <w:rFonts w:ascii="Book Antiqua" w:eastAsia="MS Mincho" w:hAnsi="Book Antiqua" w:cs="Times New Roman"/>
          <w:noProof w:val="0"/>
          <w:color w:val="000000"/>
        </w:rPr>
        <w:t>5</w:t>
      </w:r>
      <w:r w:rsidRPr="00F624C1">
        <w:rPr>
          <w:rFonts w:ascii="Book Antiqua" w:eastAsia="MS Mincho" w:hAnsi="Book Antiqua" w:cs="Times New Roman"/>
          <w:noProof w:val="0"/>
          <w:color w:val="000000"/>
        </w:rPr>
        <w:t>.  Zakona br. 0</w:t>
      </w:r>
      <w:r w:rsidR="008E7B3A">
        <w:rPr>
          <w:rFonts w:ascii="Book Antiqua" w:eastAsia="MS Mincho" w:hAnsi="Book Antiqua" w:cs="Times New Roman"/>
          <w:noProof w:val="0"/>
          <w:color w:val="000000"/>
        </w:rPr>
        <w:t>3</w:t>
      </w:r>
      <w:r w:rsidRPr="00F624C1">
        <w:rPr>
          <w:rFonts w:ascii="Book Antiqua" w:eastAsia="MS Mincho" w:hAnsi="Book Antiqua" w:cs="Times New Roman"/>
          <w:noProof w:val="0"/>
          <w:color w:val="000000"/>
        </w:rPr>
        <w:t>/L-</w:t>
      </w:r>
      <w:r w:rsidR="008E7B3A">
        <w:rPr>
          <w:rFonts w:ascii="Book Antiqua" w:eastAsia="MS Mincho" w:hAnsi="Book Antiqua" w:cs="Times New Roman"/>
          <w:noProof w:val="0"/>
          <w:color w:val="000000"/>
        </w:rPr>
        <w:t>175</w:t>
      </w:r>
      <w:r w:rsidRPr="00F624C1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3E7672">
        <w:rPr>
          <w:rFonts w:ascii="Book Antiqua" w:eastAsia="MS Mincho" w:hAnsi="Book Antiqua" w:cs="Times New Roman"/>
          <w:noProof w:val="0"/>
          <w:color w:val="000000"/>
        </w:rPr>
        <w:t>javnim dugovima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</w:t>
      </w:r>
      <w:r w:rsidR="008E7B3A">
        <w:rPr>
          <w:rFonts w:ascii="Book Antiqua" w:hAnsi="Book Antiqua"/>
          <w:color w:val="000000"/>
          <w:lang w:val="sr-Latn-RS"/>
        </w:rPr>
        <w:t>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743FD" w:rsidRPr="000E2B23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0743FD" w:rsidRPr="000E2B23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743FD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4865B5" w:rsidRPr="000E2B23" w:rsidRDefault="004865B5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Default="008E7B3A" w:rsidP="008E7B3A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program </w:t>
      </w:r>
      <w:r>
        <w:rPr>
          <w:rFonts w:ascii="Book Antiqua" w:eastAsia="MS Mincho" w:hAnsi="Book Antiqua" w:cs="Times New Roman"/>
          <w:noProof w:val="0"/>
          <w:color w:val="000000"/>
        </w:rPr>
        <w:t>državnog d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>ug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 za godine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od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 2017. do 2019. </w:t>
      </w:r>
    </w:p>
    <w:p w:rsidR="008E7B3A" w:rsidRDefault="008E7B3A" w:rsidP="008E7B3A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Default="008E7B3A" w:rsidP="008E7B3A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Obavezuje se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>g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eneralni sekretar Kancelarije premijera da Program iz stava 1. ove odluke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prosledi radi 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>obaveštenja Skupštini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Kosova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. </w:t>
      </w:r>
    </w:p>
    <w:p w:rsidR="008E7B3A" w:rsidRDefault="008E7B3A" w:rsidP="008E7B3A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8E7B3A" w:rsidRPr="00FD2735" w:rsidRDefault="008E7B3A" w:rsidP="008E7B3A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 xml:space="preserve">dluka stupa na snagu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danom </w:t>
      </w:r>
      <w:r w:rsidRPr="00FD2735">
        <w:rPr>
          <w:rFonts w:ascii="Book Antiqua" w:eastAsia="MS Mincho" w:hAnsi="Book Antiqua" w:cs="Times New Roman"/>
          <w:noProof w:val="0"/>
          <w:color w:val="000000"/>
        </w:rPr>
        <w:t>potpisivanja.</w:t>
      </w:r>
    </w:p>
    <w:p w:rsidR="008E7B3A" w:rsidRPr="00650D7C" w:rsidRDefault="008E7B3A" w:rsidP="008E7B3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0E2B23" w:rsidRDefault="000743FD" w:rsidP="000743FD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743FD" w:rsidRPr="000E2B23" w:rsidRDefault="000743FD" w:rsidP="000743FD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743FD" w:rsidRPr="000E2B23" w:rsidRDefault="000743FD" w:rsidP="000743FD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743FD" w:rsidRPr="000E2B23" w:rsidRDefault="000743FD" w:rsidP="000743FD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743FD" w:rsidRPr="000E2B23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743FD" w:rsidRPr="000E2B23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0E2B23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0E2B23" w:rsidRDefault="008E7B3A" w:rsidP="008E7B3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D59B13A" wp14:editId="44F0C879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3A" w:rsidRPr="000E2B23" w:rsidRDefault="008E7B3A" w:rsidP="008E7B3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E7B3A" w:rsidRPr="000E2B23" w:rsidRDefault="008E7B3A" w:rsidP="008E7B3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E7B3A" w:rsidRPr="000E2B23" w:rsidRDefault="008E7B3A" w:rsidP="008E7B3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E7B3A" w:rsidRPr="000E2B23" w:rsidRDefault="008E7B3A" w:rsidP="008E7B3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E7B3A" w:rsidRPr="000E2B23" w:rsidRDefault="008E7B3A" w:rsidP="008E7B3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FB2A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8E7B3A" w:rsidRDefault="008E7B3A" w:rsidP="008E7B3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8E7B3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E7B3A" w:rsidRPr="000E2B23" w:rsidRDefault="008E7B3A" w:rsidP="008E7B3A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8E7B3A" w:rsidRPr="000E2B23" w:rsidRDefault="008E7B3A" w:rsidP="008E7B3A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Pr="000E2B23" w:rsidRDefault="008E7B3A" w:rsidP="008E7B3A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8E7B3A" w:rsidRDefault="008E7B3A" w:rsidP="008E7B3A">
      <w:pPr>
        <w:jc w:val="center"/>
        <w:rPr>
          <w:rFonts w:ascii="Book Antiqua" w:hAnsi="Book Antiqua"/>
          <w:b/>
          <w:bCs/>
          <w:lang w:val="sr-Latn-RS"/>
        </w:rPr>
      </w:pPr>
    </w:p>
    <w:p w:rsidR="004865B5" w:rsidRPr="000E2B23" w:rsidRDefault="004865B5" w:rsidP="008E7B3A">
      <w:pPr>
        <w:jc w:val="center"/>
        <w:rPr>
          <w:rFonts w:ascii="Book Antiqua" w:hAnsi="Book Antiqua"/>
          <w:b/>
          <w:bCs/>
          <w:lang w:val="sr-Latn-RS"/>
        </w:rPr>
      </w:pPr>
    </w:p>
    <w:p w:rsidR="008E7B3A" w:rsidRPr="00FD2735" w:rsidRDefault="008E7B3A" w:rsidP="008E7B3A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FD2735">
        <w:rPr>
          <w:rFonts w:ascii="Book Antiqua" w:eastAsia="MS Mincho" w:hAnsi="Book Antiqua" w:cs="Times New Roman"/>
          <w:noProof w:val="0"/>
        </w:rPr>
        <w:t xml:space="preserve">Usvaja se kvartalni izvještaj o budžetu za 2016.godinu   </w:t>
      </w:r>
    </w:p>
    <w:p w:rsidR="008E7B3A" w:rsidRPr="00FD2735" w:rsidRDefault="008E7B3A" w:rsidP="008E7B3A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E7B3A" w:rsidRPr="00FD2735" w:rsidRDefault="008E7B3A" w:rsidP="008E7B3A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FD2735">
        <w:rPr>
          <w:rFonts w:ascii="Book Antiqua" w:eastAsia="MS Mincho" w:hAnsi="Book Antiqua" w:cs="Times New Roman"/>
          <w:noProof w:val="0"/>
        </w:rPr>
        <w:t xml:space="preserve">Generalni sekretar Kancelarije premijera je dužan da izveštaj iz stava 1 ove odluke dostavi Skupštini Kosova u skladu sa uslovima iz člana 45 zakona 03/L-048 o upravljanju javnim finansijama i odgovornostima. </w:t>
      </w:r>
    </w:p>
    <w:p w:rsidR="008E7B3A" w:rsidRPr="00FD2735" w:rsidRDefault="008E7B3A" w:rsidP="008E7B3A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E7B3A" w:rsidRPr="00FD2735" w:rsidRDefault="008E7B3A" w:rsidP="008E7B3A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FD2735">
        <w:rPr>
          <w:rFonts w:ascii="Book Antiqua" w:eastAsia="MS Mincho" w:hAnsi="Book Antiqua" w:cs="Times New Roman"/>
          <w:noProof w:val="0"/>
        </w:rPr>
        <w:t>Odluka stupa na snagu danom potpisivanja.</w:t>
      </w:r>
    </w:p>
    <w:p w:rsidR="008E7B3A" w:rsidRPr="00FD2735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8E7B3A" w:rsidRPr="000E2B23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E7B3A" w:rsidRPr="000E2B23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E7B3A" w:rsidRPr="000E2B23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E7B3A" w:rsidRPr="000E2B23" w:rsidRDefault="008E7B3A" w:rsidP="008E7B3A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8E7B3A" w:rsidRPr="000E2B23" w:rsidRDefault="008E7B3A" w:rsidP="008E7B3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8E7B3A" w:rsidRPr="000E2B23" w:rsidRDefault="008E7B3A" w:rsidP="008E7B3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8E7B3A" w:rsidRPr="000E2B23" w:rsidRDefault="008E7B3A" w:rsidP="008E7B3A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8E7B3A" w:rsidRPr="000E2B23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8E7B3A" w:rsidRPr="000E2B23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8E7B3A" w:rsidRPr="000E2B23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8E7B3A" w:rsidRPr="000E2B23" w:rsidRDefault="008E7B3A" w:rsidP="008E7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8E7B3A" w:rsidRPr="000E2B23" w:rsidRDefault="008E7B3A" w:rsidP="008E7B3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Pr="000E2B23" w:rsidRDefault="008E7B3A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82E70EA" wp14:editId="18AE95C1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126A1" w:rsidRPr="00C167F0" w:rsidRDefault="007126A1" w:rsidP="007126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10"/>
          <w:szCs w:val="1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C167F0" w:rsidRDefault="007126A1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2"/>
          <w:szCs w:val="12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FA0207" w:rsidRPr="000E2B23" w:rsidRDefault="00FA0207" w:rsidP="00FA0207">
      <w:pPr>
        <w:spacing w:after="0" w:line="240" w:lineRule="auto"/>
        <w:ind w:left="720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4865B5" w:rsidRDefault="00FA0207" w:rsidP="00FA020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FA020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865B5" w:rsidRPr="000E2B23" w:rsidRDefault="00FA0207" w:rsidP="000B67E9">
      <w:pPr>
        <w:jc w:val="both"/>
        <w:rPr>
          <w:rFonts w:ascii="Book Antiqua" w:hAnsi="Book Antiqua"/>
          <w:b/>
          <w:bCs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FA0207" w:rsidRDefault="00FA0207" w:rsidP="00FA0207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4865B5" w:rsidRDefault="004865B5" w:rsidP="00FA0207">
      <w:pPr>
        <w:jc w:val="center"/>
        <w:rPr>
          <w:rFonts w:ascii="Book Antiqua" w:hAnsi="Book Antiqua"/>
          <w:b/>
          <w:bCs/>
          <w:lang w:val="sr-Latn-RS"/>
        </w:rPr>
      </w:pPr>
    </w:p>
    <w:p w:rsidR="00FA0207" w:rsidRPr="00FA0207" w:rsidRDefault="00FA0207" w:rsidP="00FA0207">
      <w:pPr>
        <w:pStyle w:val="ListParagraph"/>
        <w:numPr>
          <w:ilvl w:val="0"/>
          <w:numId w:val="25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Usvaja se zahtev Ministarstva obrazovanja, nauke i tehnologije za raspodelu sredstava u iznosu od 300.000 (tri stotine hiljada) evra za podršku programu Fullbright. </w:t>
      </w:r>
    </w:p>
    <w:p w:rsidR="00FA0207" w:rsidRPr="00FA0207" w:rsidRDefault="00FA0207" w:rsidP="00FA020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A0207" w:rsidRPr="00FA0207" w:rsidRDefault="00FA0207" w:rsidP="00FA0207">
      <w:pPr>
        <w:pStyle w:val="ListParagraph"/>
        <w:numPr>
          <w:ilvl w:val="0"/>
          <w:numId w:val="25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FA0207">
        <w:rPr>
          <w:rFonts w:ascii="Book Antiqua" w:eastAsia="MS Mincho" w:hAnsi="Book Antiqua" w:cs="Times New Roman"/>
          <w:noProof w:val="0"/>
          <w:color w:val="000000"/>
        </w:rPr>
        <w:t xml:space="preserve">Sredstva iz stava 1. ove odluke se izdvojaju od strane Ministarstva obrazovanja, nauke i tehnologije sa kodom 208, pod-programa Centralna uprava sa kodom 11308 iz ekonomske kategorije subvencija i transfera, za podršku programu Fulbright (studijske stipendije za studente iz Republike Kosova u Sjedinjenim Američkim Državama). </w:t>
      </w:r>
    </w:p>
    <w:p w:rsidR="00FA0207" w:rsidRPr="00FA0207" w:rsidRDefault="00FA0207" w:rsidP="00FA020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A0207" w:rsidRPr="000B67E9" w:rsidRDefault="00FA0207" w:rsidP="00FA0207">
      <w:pPr>
        <w:pStyle w:val="ListParagraph"/>
        <w:numPr>
          <w:ilvl w:val="0"/>
          <w:numId w:val="25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>Sa procesom rebalansa budžeta za 2016.godinu će se uštedeti sredstva u iznosu od 250.000 (dvestotine i pedeset hiljada) evra iz ekonomske kategorije roba i usluga iz sledećih ministarstava:</w:t>
      </w:r>
    </w:p>
    <w:p w:rsidR="00FA0207" w:rsidRPr="000B67E9" w:rsidRDefault="00FA0207" w:rsidP="00FA020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B67E9" w:rsidRDefault="007126A1" w:rsidP="007126A1">
      <w:pPr>
        <w:pStyle w:val="ListParagraph"/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8"/>
          <w:szCs w:val="8"/>
        </w:rPr>
      </w:pPr>
    </w:p>
    <w:p w:rsidR="000B67E9" w:rsidRPr="000B67E9" w:rsidRDefault="00FA0207" w:rsidP="00FA0207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50.000 evra iz Ministarstva finansija </w:t>
      </w:r>
    </w:p>
    <w:p w:rsidR="000B67E9" w:rsidRPr="000B67E9" w:rsidRDefault="00FA0207" w:rsidP="00FA0207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50.000 evra iz Ministarstva spoljnih poslova; </w:t>
      </w:r>
    </w:p>
    <w:p w:rsidR="000B67E9" w:rsidRPr="000B67E9" w:rsidRDefault="00FA0207" w:rsidP="00FA0207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50.000 evra iz Ministarstva za evropske integracije; </w:t>
      </w:r>
    </w:p>
    <w:p w:rsidR="000B67E9" w:rsidRPr="000B67E9" w:rsidRDefault="00FA0207" w:rsidP="00FA0207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50.000 evra Ministarstvo rada i socijalnog staranja; </w:t>
      </w:r>
    </w:p>
    <w:p w:rsidR="000B67E9" w:rsidRPr="000B67E9" w:rsidRDefault="00FA0207" w:rsidP="00FA0207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50.000 evra iz Ministarstva poljoprivrede, šumarstva i ruralnog razvoja. </w:t>
      </w:r>
    </w:p>
    <w:p w:rsidR="000B67E9" w:rsidRPr="000B67E9" w:rsidRDefault="000B67E9" w:rsidP="000B67E9">
      <w:pPr>
        <w:tabs>
          <w:tab w:val="left" w:pos="5760"/>
        </w:tabs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0B67E9" w:rsidRPr="000B67E9" w:rsidRDefault="000B67E9" w:rsidP="000B67E9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Sredstva 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>iz stava 3. ove odluke s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>e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 preba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cuju 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>na Ministarstvo obrazovanja, nauke i tehnologije sa kod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>om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 208, 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>u pod-programu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 Centralna uprava sa kodom 11308 u ekonomskoj kategoriji subvencija i transfera. </w:t>
      </w:r>
    </w:p>
    <w:p w:rsidR="000B67E9" w:rsidRPr="000B67E9" w:rsidRDefault="000B67E9" w:rsidP="000B67E9">
      <w:pPr>
        <w:tabs>
          <w:tab w:val="left" w:pos="5760"/>
        </w:tabs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0B67E9" w:rsidRPr="000B67E9" w:rsidRDefault="000B67E9" w:rsidP="000B6B0E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</w:rPr>
      </w:pPr>
      <w:r w:rsidRPr="000B67E9">
        <w:rPr>
          <w:rFonts w:ascii="Book Antiqua" w:eastAsia="MS Mincho" w:hAnsi="Book Antiqua" w:cs="Times New Roman"/>
          <w:noProof w:val="0"/>
          <w:color w:val="000000"/>
        </w:rPr>
        <w:t>O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bavezuje 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se 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>Ministarstvo obrazovanja, nauke i tehnologije, Ministarstv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>o finansija, Ministarstvo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 spoljnih poslova, Ministarstv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>o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 za evropske integracije, Ministarstvo rada i socijaln</w:t>
      </w:r>
      <w:r w:rsidRPr="000B67E9">
        <w:rPr>
          <w:rFonts w:ascii="Book Antiqua" w:eastAsia="MS Mincho" w:hAnsi="Book Antiqua" w:cs="Times New Roman"/>
          <w:noProof w:val="0"/>
          <w:color w:val="000000"/>
        </w:rPr>
        <w:t xml:space="preserve">e zaštite </w:t>
      </w:r>
      <w:r w:rsidR="00FA0207" w:rsidRPr="000B67E9">
        <w:rPr>
          <w:rFonts w:ascii="Book Antiqua" w:eastAsia="MS Mincho" w:hAnsi="Book Antiqua" w:cs="Times New Roman"/>
          <w:noProof w:val="0"/>
          <w:color w:val="000000"/>
        </w:rPr>
        <w:t xml:space="preserve">i Ministarstvo poljoprivrede, šumarstva i ruralnog razvoja za sprovođenje ove odluke. </w:t>
      </w:r>
    </w:p>
    <w:p w:rsidR="000B67E9" w:rsidRPr="000B67E9" w:rsidRDefault="000B67E9" w:rsidP="000B67E9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A0207" w:rsidRPr="004865B5" w:rsidRDefault="000B67E9" w:rsidP="00191B2D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 w:val="12"/>
          <w:szCs w:val="12"/>
          <w:highlight w:val="yellow"/>
        </w:rPr>
      </w:pPr>
      <w:r w:rsidRPr="004865B5">
        <w:rPr>
          <w:rFonts w:ascii="Book Antiqua" w:eastAsia="MS Mincho" w:hAnsi="Book Antiqua" w:cs="Times New Roman"/>
          <w:noProof w:val="0"/>
          <w:color w:val="000000"/>
        </w:rPr>
        <w:t>O</w:t>
      </w:r>
      <w:r w:rsidR="00FA0207" w:rsidRPr="004865B5">
        <w:rPr>
          <w:rFonts w:ascii="Book Antiqua" w:eastAsia="MS Mincho" w:hAnsi="Book Antiqua" w:cs="Times New Roman"/>
          <w:noProof w:val="0"/>
          <w:color w:val="000000"/>
        </w:rPr>
        <w:t>dluka stupa na snagu nakon potpisivanja.</w:t>
      </w: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lastRenderedPageBreak/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Pr="000E2B23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0B67E9" w:rsidRDefault="000B67E9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55093E" w:rsidRDefault="0055093E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4865B5" w:rsidRDefault="004865B5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4865B5" w:rsidRDefault="004865B5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4865B5" w:rsidRPr="000E2B23" w:rsidRDefault="004865B5" w:rsidP="007126A1">
      <w:pPr>
        <w:spacing w:after="0" w:line="240" w:lineRule="auto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7C3D023" wp14:editId="7E1486E8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126A1" w:rsidRPr="008F0C04" w:rsidRDefault="007126A1" w:rsidP="007126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126A1" w:rsidRPr="008F0C04" w:rsidRDefault="007126A1" w:rsidP="007126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8F0C04" w:rsidRDefault="007126A1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55093E" w:rsidRPr="000E2B23" w:rsidRDefault="0055093E" w:rsidP="0055093E">
      <w:pPr>
        <w:spacing w:after="0" w:line="240" w:lineRule="auto"/>
        <w:ind w:left="720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86</w:t>
      </w:r>
    </w:p>
    <w:p w:rsidR="0055093E" w:rsidRDefault="0055093E" w:rsidP="005509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5509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5093E" w:rsidRDefault="0055093E" w:rsidP="005509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</w:t>
      </w:r>
      <w:r w:rsidRPr="0055093E">
        <w:rPr>
          <w:rFonts w:ascii="Book Antiqua" w:hAnsi="Book Antiqua"/>
          <w:color w:val="000000"/>
          <w:lang w:val="sr-Latn-RS"/>
        </w:rPr>
        <w:t xml:space="preserve">za podršku Odluke Vlade br. 06/85 od 20. aprila 2016. o uspostavljanju Kancelarije za milenijumske razvojne ciljeve na  Kosovu u okviru Kancelarije premijera, na osnovu Odluke Upravnog odbora američke korporacije milenijumski razvojni ciljevi  (MCC) za izbor  Kosova, </w:t>
      </w:r>
      <w:r>
        <w:rPr>
          <w:rFonts w:ascii="Book Antiqua" w:hAnsi="Book Antiqua"/>
          <w:color w:val="000000"/>
          <w:lang w:val="sr-Latn-RS"/>
        </w:rPr>
        <w:t xml:space="preserve">za </w:t>
      </w:r>
      <w:r w:rsidRPr="0055093E">
        <w:rPr>
          <w:rFonts w:ascii="Book Antiqua" w:hAnsi="Book Antiqua"/>
          <w:color w:val="000000"/>
          <w:lang w:val="sr-Latn-RS"/>
        </w:rPr>
        <w:t>zemlj</w:t>
      </w:r>
      <w:r>
        <w:rPr>
          <w:rFonts w:ascii="Book Antiqua" w:hAnsi="Book Antiqua"/>
          <w:color w:val="000000"/>
          <w:lang w:val="sr-Latn-RS"/>
        </w:rPr>
        <w:t>u</w:t>
      </w:r>
      <w:r w:rsidRPr="0055093E">
        <w:rPr>
          <w:rFonts w:ascii="Book Antiqua" w:hAnsi="Book Antiqua"/>
          <w:color w:val="000000"/>
          <w:lang w:val="sr-Latn-RS"/>
        </w:rPr>
        <w:t xml:space="preserve"> kandidata za razvoj kompakt program</w:t>
      </w:r>
      <w:r>
        <w:rPr>
          <w:rFonts w:ascii="Book Antiqua" w:hAnsi="Book Antiqua"/>
          <w:color w:val="000000"/>
          <w:lang w:val="sr-Latn-RS"/>
        </w:rPr>
        <w:t>a</w:t>
      </w:r>
      <w:r w:rsidRPr="0055093E">
        <w:rPr>
          <w:rFonts w:ascii="Book Antiqua" w:hAnsi="Book Antiqua"/>
          <w:color w:val="000000"/>
          <w:lang w:val="sr-Latn-RS"/>
        </w:rPr>
        <w:t xml:space="preserve"> pomoći, na </w:t>
      </w:r>
      <w:r>
        <w:rPr>
          <w:rFonts w:ascii="Book Antiqua" w:hAnsi="Book Antiqua"/>
          <w:color w:val="000000"/>
          <w:lang w:val="sr-Latn-RS"/>
        </w:rPr>
        <w:t>sastanku održanom 29. aprila</w:t>
      </w:r>
      <w:r w:rsidRPr="0055093E">
        <w:rPr>
          <w:rFonts w:ascii="Book Antiqua" w:hAnsi="Book Antiqua"/>
          <w:color w:val="000000"/>
          <w:lang w:val="sr-Latn-RS"/>
        </w:rPr>
        <w:t xml:space="preserve"> 2016</w:t>
      </w:r>
      <w:r>
        <w:rPr>
          <w:rFonts w:ascii="Book Antiqua" w:hAnsi="Book Antiqua"/>
          <w:color w:val="000000"/>
          <w:lang w:val="sr-Latn-RS"/>
        </w:rPr>
        <w:t xml:space="preserve"> Vlada Republike Kosovo je</w:t>
      </w:r>
      <w:r w:rsidRPr="0055093E">
        <w:rPr>
          <w:rFonts w:ascii="Book Antiqua" w:hAnsi="Book Antiqua"/>
          <w:color w:val="000000"/>
          <w:lang w:val="sr-Latn-RS"/>
        </w:rPr>
        <w:t xml:space="preserve"> donela sledeču :</w:t>
      </w:r>
    </w:p>
    <w:p w:rsidR="0055093E" w:rsidRPr="000E2B23" w:rsidRDefault="0055093E" w:rsidP="0055093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7126A1" w:rsidRPr="0055093E" w:rsidRDefault="007126A1" w:rsidP="007126A1">
      <w:pPr>
        <w:spacing w:after="0" w:line="240" w:lineRule="auto"/>
        <w:jc w:val="both"/>
        <w:rPr>
          <w:rFonts w:ascii="Book Antiqua" w:hAnsi="Book Antiqua"/>
          <w:noProof w:val="0"/>
          <w:color w:val="000000"/>
          <w:highlight w:val="yellow"/>
        </w:rPr>
      </w:pP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C44B7F">
        <w:rPr>
          <w:rFonts w:ascii="Book Antiqua" w:eastAsia="MS Mincho" w:hAnsi="Book Antiqua" w:cs="Times New Roman"/>
          <w:noProof w:val="0"/>
        </w:rPr>
        <w:t xml:space="preserve">1. Koordinatoru i glavnom ekonomisti u Kancelariji za Milenijumske razvojne ciljeve na Kosovu u okviru Kancelarije premijera, </w:t>
      </w:r>
      <w:r>
        <w:rPr>
          <w:rFonts w:ascii="Book Antiqua" w:eastAsia="MS Mincho" w:hAnsi="Book Antiqua" w:cs="Times New Roman"/>
          <w:noProof w:val="0"/>
        </w:rPr>
        <w:t xml:space="preserve">se </w:t>
      </w:r>
      <w:r w:rsidRPr="00C44B7F">
        <w:rPr>
          <w:rFonts w:ascii="Book Antiqua" w:eastAsia="MS Mincho" w:hAnsi="Book Antiqua" w:cs="Times New Roman"/>
          <w:noProof w:val="0"/>
        </w:rPr>
        <w:t xml:space="preserve">određuje koeficijent plate na sledeći način: </w:t>
      </w: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44B7F" w:rsidRPr="00C44B7F" w:rsidRDefault="00C44B7F" w:rsidP="00C44B7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  <w:r w:rsidRPr="00C44B7F">
        <w:rPr>
          <w:rFonts w:ascii="Book Antiqua" w:eastAsia="MS Mincho" w:hAnsi="Book Antiqua" w:cs="Times New Roman"/>
          <w:noProof w:val="0"/>
        </w:rPr>
        <w:t>1.1. Koordinatoru se odr</w:t>
      </w:r>
      <w:r>
        <w:rPr>
          <w:rFonts w:ascii="Book Antiqua" w:eastAsia="MS Mincho" w:hAnsi="Book Antiqua" w:cs="Times New Roman"/>
          <w:noProof w:val="0"/>
        </w:rPr>
        <w:t>e</w:t>
      </w:r>
      <w:r w:rsidRPr="00C44B7F">
        <w:rPr>
          <w:rFonts w:ascii="Book Antiqua" w:eastAsia="MS Mincho" w:hAnsi="Book Antiqua" w:cs="Times New Roman"/>
          <w:noProof w:val="0"/>
        </w:rPr>
        <w:t xml:space="preserve">đuje koeficijent 18;   </w:t>
      </w:r>
    </w:p>
    <w:p w:rsidR="00C44B7F" w:rsidRPr="00C44B7F" w:rsidRDefault="00C44B7F" w:rsidP="00C44B7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  <w:r w:rsidRPr="00C44B7F">
        <w:rPr>
          <w:rFonts w:ascii="Book Antiqua" w:eastAsia="MS Mincho" w:hAnsi="Book Antiqua" w:cs="Times New Roman"/>
          <w:noProof w:val="0"/>
        </w:rPr>
        <w:t xml:space="preserve">1.2. Glavnom ekonomisti se dodeljuje koeficijent 16. </w:t>
      </w: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C44B7F">
        <w:rPr>
          <w:rFonts w:ascii="Book Antiqua" w:eastAsia="MS Mincho" w:hAnsi="Book Antiqua" w:cs="Times New Roman"/>
          <w:noProof w:val="0"/>
        </w:rPr>
        <w:t xml:space="preserve">2. Koordinator i glavni ekonomista će za svoj rad primiti  dodatak koji će biti 50% od plate. </w:t>
      </w: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C44B7F">
        <w:rPr>
          <w:rFonts w:ascii="Book Antiqua" w:eastAsia="MS Mincho" w:hAnsi="Book Antiqua" w:cs="Times New Roman"/>
          <w:noProof w:val="0"/>
        </w:rPr>
        <w:t xml:space="preserve">3. Kancelarija premijera, Ministarstvo finansija i Ministarstva za javnu upravu </w:t>
      </w:r>
      <w:r>
        <w:rPr>
          <w:rFonts w:ascii="Book Antiqua" w:eastAsia="MS Mincho" w:hAnsi="Book Antiqua" w:cs="Times New Roman"/>
          <w:noProof w:val="0"/>
        </w:rPr>
        <w:t>su</w:t>
      </w:r>
      <w:r w:rsidRPr="00C44B7F">
        <w:rPr>
          <w:rFonts w:ascii="Book Antiqua" w:eastAsia="MS Mincho" w:hAnsi="Book Antiqua" w:cs="Times New Roman"/>
          <w:noProof w:val="0"/>
        </w:rPr>
        <w:t xml:space="preserve"> dužn</w:t>
      </w:r>
      <w:r>
        <w:rPr>
          <w:rFonts w:ascii="Book Antiqua" w:eastAsia="MS Mincho" w:hAnsi="Book Antiqua" w:cs="Times New Roman"/>
          <w:noProof w:val="0"/>
        </w:rPr>
        <w:t>i</w:t>
      </w:r>
      <w:r w:rsidRPr="00C44B7F">
        <w:rPr>
          <w:rFonts w:ascii="Book Antiqua" w:eastAsia="MS Mincho" w:hAnsi="Book Antiqua" w:cs="Times New Roman"/>
          <w:noProof w:val="0"/>
        </w:rPr>
        <w:t xml:space="preserve"> da primeni ovu odluku.</w:t>
      </w:r>
    </w:p>
    <w:p w:rsidR="00C44B7F" w:rsidRPr="00C44B7F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7126A1" w:rsidRDefault="00C44B7F" w:rsidP="00C44B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44B7F">
        <w:rPr>
          <w:rFonts w:ascii="Book Antiqua" w:eastAsia="MS Mincho" w:hAnsi="Book Antiqua" w:cs="Times New Roman"/>
          <w:noProof w:val="0"/>
        </w:rPr>
        <w:t>4. Odluka stupa na snagu na dan potpisivanja.</w:t>
      </w:r>
    </w:p>
    <w:p w:rsidR="007126A1" w:rsidRPr="0041203B" w:rsidRDefault="004865B5" w:rsidP="004865B5">
      <w:pPr>
        <w:tabs>
          <w:tab w:val="left" w:pos="5411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ab/>
      </w:r>
      <w:bookmarkStart w:id="0" w:name="_GoBack"/>
      <w:bookmarkEnd w:id="0"/>
    </w:p>
    <w:p w:rsidR="007126A1" w:rsidRDefault="007126A1" w:rsidP="007126A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Pr="000E2B23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7126A1">
      <w:pPr>
        <w:spacing w:after="0" w:line="240" w:lineRule="auto"/>
        <w:rPr>
          <w:rFonts w:ascii="Book Antiqua" w:hAnsi="Book Antiqua"/>
          <w:lang w:val="sr-Latn-RS"/>
        </w:rPr>
      </w:pPr>
    </w:p>
    <w:sectPr w:rsidR="006B3ADB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FEB4E3F"/>
    <w:multiLevelType w:val="hybridMultilevel"/>
    <w:tmpl w:val="9B4C4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42F45"/>
    <w:multiLevelType w:val="multilevel"/>
    <w:tmpl w:val="06E4B31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>
    <w:nsid w:val="204818C8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E3CB9"/>
    <w:multiLevelType w:val="hybridMultilevel"/>
    <w:tmpl w:val="79B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102A"/>
    <w:multiLevelType w:val="hybridMultilevel"/>
    <w:tmpl w:val="A9D0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B6F07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27998"/>
    <w:multiLevelType w:val="hybridMultilevel"/>
    <w:tmpl w:val="1F822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352BEE"/>
    <w:multiLevelType w:val="hybridMultilevel"/>
    <w:tmpl w:val="091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53C7E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83C68"/>
    <w:multiLevelType w:val="multilevel"/>
    <w:tmpl w:val="7068C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7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60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60" w:hanging="1080"/>
      </w:pPr>
      <w:rPr>
        <w:rFonts w:hint="default"/>
        <w:sz w:val="22"/>
      </w:rPr>
    </w:lvl>
  </w:abstractNum>
  <w:abstractNum w:abstractNumId="14">
    <w:nsid w:val="404A1F82"/>
    <w:multiLevelType w:val="hybridMultilevel"/>
    <w:tmpl w:val="F3BAA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535ED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F3D4F"/>
    <w:multiLevelType w:val="hybridMultilevel"/>
    <w:tmpl w:val="162E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4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030FC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C833F78"/>
    <w:multiLevelType w:val="multilevel"/>
    <w:tmpl w:val="53BCD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15"/>
  </w:num>
  <w:num w:numId="2">
    <w:abstractNumId w:val="21"/>
  </w:num>
  <w:num w:numId="3">
    <w:abstractNumId w:val="27"/>
  </w:num>
  <w:num w:numId="4">
    <w:abstractNumId w:val="16"/>
  </w:num>
  <w:num w:numId="5">
    <w:abstractNumId w:val="19"/>
  </w:num>
  <w:num w:numId="6">
    <w:abstractNumId w:val="2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8"/>
  </w:num>
  <w:num w:numId="10">
    <w:abstractNumId w:val="0"/>
  </w:num>
  <w:num w:numId="11">
    <w:abstractNumId w:val="24"/>
  </w:num>
  <w:num w:numId="12">
    <w:abstractNumId w:val="4"/>
  </w:num>
  <w:num w:numId="13">
    <w:abstractNumId w:val="22"/>
  </w:num>
  <w:num w:numId="14">
    <w:abstractNumId w:val="9"/>
  </w:num>
  <w:num w:numId="15">
    <w:abstractNumId w:val="10"/>
  </w:num>
  <w:num w:numId="16">
    <w:abstractNumId w:val="13"/>
  </w:num>
  <w:num w:numId="17">
    <w:abstractNumId w:val="11"/>
  </w:num>
  <w:num w:numId="18">
    <w:abstractNumId w:val="7"/>
  </w:num>
  <w:num w:numId="19">
    <w:abstractNumId w:val="8"/>
  </w:num>
  <w:num w:numId="20">
    <w:abstractNumId w:val="14"/>
  </w:num>
  <w:num w:numId="21">
    <w:abstractNumId w:val="1"/>
  </w:num>
  <w:num w:numId="22">
    <w:abstractNumId w:val="2"/>
  </w:num>
  <w:num w:numId="23">
    <w:abstractNumId w:val="25"/>
  </w:num>
  <w:num w:numId="24">
    <w:abstractNumId w:val="3"/>
  </w:num>
  <w:num w:numId="25">
    <w:abstractNumId w:val="26"/>
  </w:num>
  <w:num w:numId="26">
    <w:abstractNumId w:val="5"/>
  </w:num>
  <w:num w:numId="27">
    <w:abstractNumId w:val="17"/>
  </w:num>
  <w:num w:numId="28">
    <w:abstractNumId w:val="6"/>
  </w:num>
  <w:num w:numId="2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57F3C"/>
    <w:rsid w:val="00065E7B"/>
    <w:rsid w:val="000743FD"/>
    <w:rsid w:val="000B67E9"/>
    <w:rsid w:val="000D5B4E"/>
    <w:rsid w:val="000E2B23"/>
    <w:rsid w:val="00145C3F"/>
    <w:rsid w:val="00185494"/>
    <w:rsid w:val="00193AF6"/>
    <w:rsid w:val="001A3428"/>
    <w:rsid w:val="001B6C4E"/>
    <w:rsid w:val="001D2403"/>
    <w:rsid w:val="001F386B"/>
    <w:rsid w:val="00225F03"/>
    <w:rsid w:val="00260358"/>
    <w:rsid w:val="00294BC5"/>
    <w:rsid w:val="003312F7"/>
    <w:rsid w:val="003453EE"/>
    <w:rsid w:val="003B0FFF"/>
    <w:rsid w:val="003C2569"/>
    <w:rsid w:val="003C4147"/>
    <w:rsid w:val="003C56F6"/>
    <w:rsid w:val="003E7672"/>
    <w:rsid w:val="00407B31"/>
    <w:rsid w:val="0042156E"/>
    <w:rsid w:val="0044697B"/>
    <w:rsid w:val="004643DE"/>
    <w:rsid w:val="00471FC4"/>
    <w:rsid w:val="004865B5"/>
    <w:rsid w:val="00494AE9"/>
    <w:rsid w:val="005305A0"/>
    <w:rsid w:val="00541F8C"/>
    <w:rsid w:val="00547ADF"/>
    <w:rsid w:val="0055093E"/>
    <w:rsid w:val="00560D22"/>
    <w:rsid w:val="005A32B1"/>
    <w:rsid w:val="00606818"/>
    <w:rsid w:val="00632508"/>
    <w:rsid w:val="006A4E37"/>
    <w:rsid w:val="006B3ADB"/>
    <w:rsid w:val="006E6A4C"/>
    <w:rsid w:val="007126A1"/>
    <w:rsid w:val="00794FDB"/>
    <w:rsid w:val="007A49B8"/>
    <w:rsid w:val="0080453B"/>
    <w:rsid w:val="00826F71"/>
    <w:rsid w:val="00853DFE"/>
    <w:rsid w:val="008626CD"/>
    <w:rsid w:val="00880528"/>
    <w:rsid w:val="00890836"/>
    <w:rsid w:val="008A2C6A"/>
    <w:rsid w:val="008C1C12"/>
    <w:rsid w:val="008E7B3A"/>
    <w:rsid w:val="008F0087"/>
    <w:rsid w:val="00940271"/>
    <w:rsid w:val="0095154A"/>
    <w:rsid w:val="00987473"/>
    <w:rsid w:val="009911C3"/>
    <w:rsid w:val="009A2C33"/>
    <w:rsid w:val="009D6EC0"/>
    <w:rsid w:val="009F4B91"/>
    <w:rsid w:val="00A22F5D"/>
    <w:rsid w:val="00A405A9"/>
    <w:rsid w:val="00AA4256"/>
    <w:rsid w:val="00AC52B1"/>
    <w:rsid w:val="00AF2A4A"/>
    <w:rsid w:val="00AF6D1E"/>
    <w:rsid w:val="00B32EB5"/>
    <w:rsid w:val="00B506B7"/>
    <w:rsid w:val="00C16374"/>
    <w:rsid w:val="00C44B7F"/>
    <w:rsid w:val="00C4615A"/>
    <w:rsid w:val="00C63CB4"/>
    <w:rsid w:val="00C812D8"/>
    <w:rsid w:val="00C9533E"/>
    <w:rsid w:val="00CE5F91"/>
    <w:rsid w:val="00D52226"/>
    <w:rsid w:val="00D61306"/>
    <w:rsid w:val="00DB4FBC"/>
    <w:rsid w:val="00DE39DF"/>
    <w:rsid w:val="00E117F9"/>
    <w:rsid w:val="00E6022E"/>
    <w:rsid w:val="00E61CCA"/>
    <w:rsid w:val="00F01D6D"/>
    <w:rsid w:val="00F11AF8"/>
    <w:rsid w:val="00F1295E"/>
    <w:rsid w:val="00F15637"/>
    <w:rsid w:val="00F624C1"/>
    <w:rsid w:val="00F62A92"/>
    <w:rsid w:val="00F924EC"/>
    <w:rsid w:val="00FA0207"/>
    <w:rsid w:val="00FB2A1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8F2AC-6767-4B79-8CDB-5C44C0C7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A88E-E2CF-415C-A3A0-1E4E1D06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Mentore Berisha</cp:lastModifiedBy>
  <cp:revision>2</cp:revision>
  <cp:lastPrinted>2015-12-14T16:51:00Z</cp:lastPrinted>
  <dcterms:created xsi:type="dcterms:W3CDTF">2016-05-27T13:09:00Z</dcterms:created>
  <dcterms:modified xsi:type="dcterms:W3CDTF">2016-05-27T13:09:00Z</dcterms:modified>
</cp:coreProperties>
</file>